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jc w:val="center"/>
        <w:rPr>
          <w:sz w:val="56"/>
          <w:szCs w:val="56"/>
        </w:rPr>
      </w:pPr>
    </w:p>
    <w:p>
      <w:pPr>
        <w:pStyle w:val="12"/>
        <w:jc w:val="center"/>
        <w:rPr>
          <w:sz w:val="56"/>
          <w:szCs w:val="56"/>
        </w:rPr>
      </w:pPr>
    </w:p>
    <w:p>
      <w:pPr>
        <w:pStyle w:val="12"/>
        <w:jc w:val="center"/>
        <w:rPr>
          <w:sz w:val="84"/>
          <w:szCs w:val="84"/>
        </w:rPr>
      </w:pPr>
    </w:p>
    <w:p>
      <w:pPr>
        <w:pStyle w:val="12"/>
        <w:jc w:val="center"/>
        <w:rPr>
          <w:sz w:val="84"/>
          <w:szCs w:val="84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202</w:t>
      </w: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年度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岳阳市疾控中心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56"/>
          <w:szCs w:val="56"/>
        </w:rPr>
      </w:pPr>
    </w:p>
    <w:p>
      <w:pPr>
        <w:pStyle w:val="12"/>
        <w:jc w:val="center"/>
        <w:rPr>
          <w:sz w:val="56"/>
          <w:szCs w:val="56"/>
        </w:rPr>
      </w:pPr>
    </w:p>
    <w:p>
      <w:pPr>
        <w:pStyle w:val="12"/>
        <w:jc w:val="center"/>
        <w:rPr>
          <w:sz w:val="56"/>
          <w:szCs w:val="56"/>
        </w:rPr>
      </w:pPr>
    </w:p>
    <w:p>
      <w:pPr>
        <w:pStyle w:val="12"/>
        <w:jc w:val="center"/>
        <w:rPr>
          <w:sz w:val="56"/>
          <w:szCs w:val="56"/>
        </w:rPr>
      </w:pPr>
    </w:p>
    <w:p>
      <w:pPr>
        <w:pStyle w:val="12"/>
        <w:jc w:val="center"/>
        <w:rPr>
          <w:sz w:val="32"/>
          <w:szCs w:val="32"/>
        </w:rPr>
      </w:pPr>
    </w:p>
    <w:p>
      <w:pPr>
        <w:pStyle w:val="12"/>
        <w:jc w:val="center"/>
        <w:rPr>
          <w:sz w:val="32"/>
          <w:szCs w:val="32"/>
        </w:rPr>
      </w:pPr>
    </w:p>
    <w:p>
      <w:pPr>
        <w:pStyle w:val="12"/>
        <w:jc w:val="center"/>
        <w:rPr>
          <w:sz w:val="32"/>
          <w:szCs w:val="32"/>
        </w:rPr>
      </w:pPr>
    </w:p>
    <w:p>
      <w:pPr>
        <w:pStyle w:val="12"/>
        <w:jc w:val="center"/>
        <w:rPr>
          <w:sz w:val="32"/>
          <w:szCs w:val="32"/>
        </w:rPr>
      </w:pPr>
    </w:p>
    <w:p>
      <w:pPr>
        <w:pStyle w:val="12"/>
        <w:jc w:val="center"/>
        <w:rPr>
          <w:sz w:val="32"/>
          <w:szCs w:val="32"/>
        </w:rPr>
      </w:pPr>
    </w:p>
    <w:p>
      <w:pPr>
        <w:pStyle w:val="12"/>
        <w:spacing w:line="500" w:lineRule="exact"/>
        <w:jc w:val="both"/>
        <w:rPr>
          <w:b/>
          <w:sz w:val="36"/>
          <w:szCs w:val="28"/>
        </w:rPr>
      </w:pPr>
    </w:p>
    <w:p>
      <w:pPr>
        <w:pStyle w:val="12"/>
        <w:spacing w:line="500" w:lineRule="exact"/>
        <w:jc w:val="center"/>
        <w:rPr>
          <w:b/>
          <w:sz w:val="36"/>
          <w:szCs w:val="28"/>
        </w:rPr>
      </w:pPr>
      <w:r>
        <w:rPr>
          <w:rFonts w:hint="eastAsia"/>
          <w:b/>
          <w:sz w:val="36"/>
          <w:szCs w:val="28"/>
        </w:rPr>
        <w:t>目录</w:t>
      </w:r>
    </w:p>
    <w:p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第一部分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val="en-US" w:eastAsia="zh-CN"/>
        </w:rPr>
        <w:t>岳阳市疾控中心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概况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一、部门职责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二、机构设置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及决算单位构成</w:t>
      </w:r>
    </w:p>
    <w:p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第二部分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三、支出决算表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四、财政拨款收入支出决算总表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五、一般公共预算财政拨款支出决算表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六、一般公共预算财政拨款基本支出决算明细表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七、政府性基金预算财政拨款收入支出决算表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八、国有资本经营预算财政拨款支出决算表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九、财政拨款“三公”经费支出决算表</w:t>
      </w:r>
    </w:p>
    <w:p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第三部分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部门决算情况说明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一、收入支出决算总体情况说明</w:t>
      </w:r>
    </w:p>
    <w:p>
      <w:pPr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三、支出决算情况说明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四、财政拨款收入支出决算总体情况说明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五、一般公共预算财政拨款支出决算情况说明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六、一般公共预算财政拨款基本支出决算情况说明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七、政府性基金预算收入支出决算情况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yellow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</w:rPr>
        <w:t>八、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国有资本经营预算财政拨款支出决算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九、财政拨款三公经费支出决算情况说明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十、关于机关运行经费支出说明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十一、一般性支出情况说明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十二、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关于政府采购支出说明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十三、关于国有资产占用情况说明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-SA"/>
        </w:rPr>
        <w:t>十四、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关于</w:t>
      </w:r>
      <w:r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  <w:t>202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年度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预算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绩效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管理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情况的说明</w:t>
      </w:r>
    </w:p>
    <w:p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第四部分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名词解释</w:t>
      </w:r>
    </w:p>
    <w:p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附件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 xml:space="preserve">第一部分 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岳阳市疾控中心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概况</w:t>
      </w:r>
    </w:p>
    <w:p>
      <w:pPr>
        <w:pStyle w:val="2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3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2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3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3"/>
        <w:numPr>
          <w:ilvl w:val="0"/>
          <w:numId w:val="1"/>
        </w:numPr>
        <w:ind w:firstLineChars="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部门职责</w:t>
      </w:r>
    </w:p>
    <w:p>
      <w:pPr>
        <w:keepNext/>
        <w:keepLines/>
        <w:shd w:val="clear" w:color="auto" w:fill="FFFFFF"/>
        <w:ind w:firstLine="640"/>
        <w:jc w:val="lef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健康危险因素监测、卫生决策参考、疾病预防控制方案制定及评估、突发公共卫生事件处置技术支持、预防接种指导、对县市区疾控业务开展指导、健康教育健康促进、公共卫生信息报告管理、卫生检验及实验室质控、保健信息咨询、血防工作、其他上级交办的工作。</w:t>
      </w:r>
    </w:p>
    <w:p>
      <w:pPr>
        <w:widowControl/>
        <w:spacing w:line="600" w:lineRule="exact"/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  <w:t>二、机构设置及决算单位构成</w:t>
      </w:r>
    </w:p>
    <w:p>
      <w:pPr>
        <w:widowControl/>
        <w:spacing w:line="600" w:lineRule="exact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一）内设机构设置。市疾控中心设置13个内设机构：综合部、人事部、质量控制部、财务部、急性传染病防治部、免疫规划部、性病艾滋病防治部、结核病防治部、血吸虫病防治部、健康教育部、职业卫生防治部、卫生监测部、检验部。（《关于市疾病预防控制中心机构编制调整的通知》岳编办函〔2020〕112号）。</w:t>
      </w:r>
    </w:p>
    <w:p>
      <w:pPr>
        <w:jc w:val="left"/>
        <w:rPr>
          <w:rFonts w:ascii="仿宋_GB2312" w:eastAsia="仿宋_GB2312" w:hAnsiTheme="minorEastAsia"/>
          <w:sz w:val="28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（二）决算单位构成。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单位无独立核算的下属单位，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  <w:t>2024年度部门决算汇总公开单位仅包括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岳阳市疾病预防控制中心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  <w:t>单位本级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。</w:t>
      </w: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第二部分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部门决算表</w:t>
      </w: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  <w:t>（见附件）</w:t>
      </w: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第三部分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202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年度部门决算情况说明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说明：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由于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决算编制时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明细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至“金额单位：元</w:t>
      </w:r>
      <w:r>
        <w:rPr>
          <w:rFonts w:hint="eastAsia" w:ascii="仿宋_GB2312" w:hAnsi="仿宋_GB2312" w:eastAsia="仿宋_GB2312" w:cs="仿宋_GB2312"/>
          <w:sz w:val="32"/>
          <w:szCs w:val="32"/>
        </w:rPr>
        <w:t>”，而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本套部门决算文字说明</w:t>
      </w:r>
      <w:r>
        <w:rPr>
          <w:rFonts w:hint="eastAsia" w:ascii="仿宋_GB2312" w:hAnsi="仿宋_GB2312" w:eastAsia="仿宋_GB2312" w:cs="仿宋_GB2312"/>
          <w:sz w:val="32"/>
          <w:szCs w:val="32"/>
        </w:rPr>
        <w:t>和公开表格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数据</w:t>
      </w:r>
      <w:r>
        <w:rPr>
          <w:rFonts w:hint="eastAsia" w:ascii="仿宋_GB2312" w:hAnsi="仿宋_GB2312" w:eastAsia="仿宋_GB2312" w:cs="仿宋_GB2312"/>
          <w:sz w:val="32"/>
          <w:szCs w:val="32"/>
        </w:rPr>
        <w:t>取数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转换为</w:t>
      </w:r>
      <w:r>
        <w:rPr>
          <w:rFonts w:hint="eastAsia"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金额单位：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万元”，可能导致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以下文字说明中的各项数据取数以及公开</w:t>
      </w:r>
      <w:r>
        <w:rPr>
          <w:rFonts w:hint="eastAsia" w:ascii="仿宋_GB2312" w:hAnsi="仿宋_GB2312" w:eastAsia="仿宋_GB2312" w:cs="仿宋_GB2312"/>
          <w:sz w:val="32"/>
          <w:szCs w:val="32"/>
        </w:rPr>
        <w:t>表格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中的各项数据取数之间存在</w:t>
      </w:r>
      <w:r>
        <w:rPr>
          <w:rFonts w:hint="eastAsia" w:ascii="仿宋_GB2312" w:hAnsi="仿宋_GB2312" w:eastAsia="仿宋_GB2312" w:cs="仿宋_GB2312"/>
          <w:sz w:val="32"/>
          <w:szCs w:val="32"/>
        </w:rPr>
        <w:t>0.01的尾数差异。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2、以下文字说明中，部分科目由于预算数为0，无法计算完成年初预算的百分比，故未描述“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完成年初预算的XX%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”。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一、收入支出决算总体情况说明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/>
          <w:i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年度收、支总计3425.63万元。与上年相比，增加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9.81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项目经费收支增加。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二、收入决算情况说明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年度收入合计3425.63万元，其中：财政拨款收入3408.32万元，占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99.49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%；上级补助收入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%；事业收入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%；附属单位上缴收入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%；其他收入17.31万元，占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0.51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三、支出决算情况说明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年度支出合计3412.06万元，其中：基本支出2070.92万元，占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60.69</w:t>
      </w:r>
      <w:r>
        <w:rPr>
          <w:rFonts w:hint="eastAsia" w:ascii="仿宋_GB2312" w:hAnsi="仿宋_GB2312" w:eastAsia="仿宋_GB2312" w:cs="仿宋_GB2312"/>
          <w:sz w:val="32"/>
          <w:szCs w:val="32"/>
        </w:rPr>
        <w:t>%；项目支出1341.14万元，占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39.31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%；上缴上级支出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%；对附属单位补助支出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四、财政拨款收入支出决算总体情况说明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楷体" w:hAnsi="楷体" w:eastAsia="楷体" w:cs="楷体"/>
          <w:i/>
          <w:i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年度财政拨款收、支总计3408.32万元，与上年相比，增加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346.48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11.32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项目经费收支增加。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五、一般公共预算财政拨款支出决算情况说明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（一）一般公共预算财政拨款支出决算总体情况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年度财政拨款支出3408.32万元，占本年支出合计的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99.89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%，与上年相比，财政拨款支出增加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346.48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11.32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项目经费收支增加。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（二）一般公共预算财政拨款支出决算结构情况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年度财政拨款支出3408.32万元，主要用于以下方面：社会保障和就业支出186.92万元，占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5.48</w:t>
      </w:r>
      <w:r>
        <w:rPr>
          <w:rFonts w:hint="eastAsia" w:ascii="仿宋_GB2312" w:hAnsi="仿宋_GB2312" w:eastAsia="仿宋_GB2312" w:cs="仿宋_GB2312"/>
          <w:sz w:val="32"/>
          <w:szCs w:val="32"/>
        </w:rPr>
        <w:t>%；卫生健康支出3103.86万元，占91.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07</w:t>
      </w:r>
      <w:r>
        <w:rPr>
          <w:rFonts w:hint="eastAsia" w:ascii="仿宋_GB2312" w:hAnsi="仿宋_GB2312" w:eastAsia="仿宋_GB2312" w:cs="仿宋_GB2312"/>
          <w:sz w:val="32"/>
          <w:szCs w:val="32"/>
        </w:rPr>
        <w:t>%;住房保障支出117.55万元，占3.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（三）一般公共预算财政拨款支出决算具体情况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年度财政拨款支出年初预算数为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2234.59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万元，支出决算数为3408.32万元，完成年初预算的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152.53</w:t>
      </w:r>
      <w:r>
        <w:rPr>
          <w:rFonts w:hint="eastAsia" w:ascii="仿宋_GB2312" w:hAnsi="仿宋_GB2312" w:eastAsia="仿宋_GB2312" w:cs="仿宋_GB2312"/>
          <w:sz w:val="32"/>
          <w:szCs w:val="32"/>
        </w:rPr>
        <w:t>%，其中：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1、社会保障和就业支出（类）行政事业单位养老支出（款）机关事业单位基本养老保险缴费支出（项）。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166.29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154.62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92.98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%，决算数小于年初预算数的主要原因是：202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年有职工退休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pStyle w:val="12"/>
        <w:spacing w:line="600" w:lineRule="exact"/>
        <w:ind w:firstLine="800" w:firstLineChars="2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2、社会保障和就业支出（类）抚恤（款）其他优抚支出（项）。</w:t>
      </w:r>
    </w:p>
    <w:p>
      <w:pPr>
        <w:pStyle w:val="12"/>
        <w:spacing w:line="600" w:lineRule="exact"/>
        <w:ind w:firstLine="800" w:firstLineChars="2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年初预算为0万元，支出决算为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17.62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万元，决算数大于年初预算数的主要原因是：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一名在职职工、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仿宋_GB2312"/>
          <w:sz w:val="32"/>
          <w:szCs w:val="32"/>
        </w:rPr>
        <w:t>名退休职工离世。</w:t>
      </w:r>
    </w:p>
    <w:p>
      <w:pPr>
        <w:pStyle w:val="12"/>
        <w:spacing w:line="600" w:lineRule="exact"/>
        <w:ind w:firstLine="800" w:firstLineChars="2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3、社会保障和就业支出（类）残疾人事业（款）其他残疾人事业支出（项）。</w:t>
      </w:r>
    </w:p>
    <w:p>
      <w:pPr>
        <w:pStyle w:val="12"/>
        <w:spacing w:line="600" w:lineRule="exact"/>
        <w:ind w:firstLine="800" w:firstLineChars="2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11.68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11.68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万元，完成年初预算的100%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主要原因是：按预算支出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12"/>
        <w:spacing w:line="600" w:lineRule="exact"/>
        <w:ind w:firstLine="800" w:firstLineChars="2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4、社会保障和就业支出（类）其他社会保障和就业支出（款）其他社会保障和就业支出（项）。</w:t>
      </w:r>
    </w:p>
    <w:p>
      <w:pPr>
        <w:pStyle w:val="12"/>
        <w:spacing w:line="600" w:lineRule="exact"/>
        <w:ind w:firstLine="800" w:firstLineChars="2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%，主要原因是：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按预算支出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12"/>
        <w:spacing w:line="600" w:lineRule="exact"/>
        <w:ind w:firstLine="800" w:firstLineChars="2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5、卫生健康支出（类）基层医疗卫生机构（款）其他基层医疗卫生机构支出（项）。</w:t>
      </w:r>
    </w:p>
    <w:p>
      <w:pPr>
        <w:pStyle w:val="12"/>
        <w:spacing w:line="600" w:lineRule="exact"/>
        <w:ind w:firstLine="800" w:firstLineChars="2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年初预算为0万元，支出决算为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50.68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万元，决算数大于年初预算数的主要原因是：</w:t>
      </w:r>
      <w:r>
        <w:rPr>
          <w:rFonts w:hint="eastAsia" w:ascii="Times New Roman" w:hAnsi="Times New Roman" w:eastAsia="仿宋_GB2312"/>
          <w:sz w:val="32"/>
          <w:szCs w:val="32"/>
        </w:rPr>
        <w:t>中央省当年下拨项目资金及上年项目资金结转结余的支出。</w:t>
      </w:r>
    </w:p>
    <w:p>
      <w:pPr>
        <w:pStyle w:val="12"/>
        <w:spacing w:line="600" w:lineRule="exact"/>
        <w:ind w:firstLine="800" w:firstLineChars="2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6、卫生健康支出（类）公共卫生（款）疾病预防控制机构（项）。</w:t>
      </w:r>
    </w:p>
    <w:p>
      <w:pPr>
        <w:pStyle w:val="12"/>
        <w:spacing w:line="600" w:lineRule="exact"/>
        <w:ind w:firstLine="800" w:firstLineChars="2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1926.55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万元，支出决算为2096.12万元，完成年初预算的1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08.8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%，决算数大于年初预算数的主要原因是：</w:t>
      </w:r>
      <w:r>
        <w:rPr>
          <w:rFonts w:hint="eastAsia" w:ascii="Times New Roman" w:hAnsi="Times New Roman" w:eastAsia="仿宋_GB2312"/>
          <w:sz w:val="32"/>
          <w:szCs w:val="32"/>
        </w:rPr>
        <w:t>单位当年新进职工及年底人员经费补差等。</w:t>
      </w:r>
    </w:p>
    <w:p>
      <w:pPr>
        <w:pStyle w:val="12"/>
        <w:spacing w:line="600" w:lineRule="exact"/>
        <w:ind w:firstLine="800" w:firstLineChars="2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7、卫生健康支出（类）公共卫生（款）重大公共卫生服务（项）。</w:t>
      </w:r>
    </w:p>
    <w:p>
      <w:pPr>
        <w:pStyle w:val="12"/>
        <w:spacing w:line="600" w:lineRule="exact"/>
        <w:ind w:firstLine="800" w:firstLineChars="2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年初预算为0万元，支出决算为837.47万元，决算数大于年初预算数的主要原因是：</w:t>
      </w:r>
      <w:r>
        <w:rPr>
          <w:rFonts w:hint="eastAsia" w:ascii="Times New Roman" w:hAnsi="Times New Roman" w:eastAsia="仿宋_GB2312"/>
          <w:sz w:val="32"/>
          <w:szCs w:val="32"/>
        </w:rPr>
        <w:t>中央省当年下拨项目资金及上年项目资金结转结余的支出。</w:t>
      </w:r>
    </w:p>
    <w:p>
      <w:pPr>
        <w:pStyle w:val="12"/>
        <w:spacing w:line="600" w:lineRule="exact"/>
        <w:ind w:firstLine="800" w:firstLineChars="2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8、卫生健康支出（类）公共卫生（款）突发公共卫生事件应急处理（项）。</w:t>
      </w:r>
    </w:p>
    <w:p>
      <w:pPr>
        <w:pStyle w:val="12"/>
        <w:spacing w:line="600" w:lineRule="exact"/>
        <w:ind w:firstLine="800" w:firstLineChars="2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年初预算为0万元，支出决算为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万元，决算数大于年初预算数的主要原因是：</w:t>
      </w:r>
      <w:r>
        <w:rPr>
          <w:rFonts w:hint="eastAsia" w:ascii="Times New Roman" w:hAnsi="Times New Roman" w:eastAsia="仿宋_GB2312"/>
          <w:sz w:val="32"/>
          <w:szCs w:val="32"/>
        </w:rPr>
        <w:t>中央省上年项目资金结转结余的支出。</w:t>
      </w:r>
    </w:p>
    <w:p>
      <w:pPr>
        <w:pStyle w:val="12"/>
        <w:spacing w:line="600" w:lineRule="exact"/>
        <w:ind w:firstLine="800" w:firstLineChars="2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9、卫生健康支出（类）公共卫生（款）其他公共卫生支出（项）。</w:t>
      </w:r>
    </w:p>
    <w:p>
      <w:pPr>
        <w:pStyle w:val="12"/>
        <w:spacing w:line="600" w:lineRule="exact"/>
        <w:ind w:firstLine="800" w:firstLineChars="2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年初预算为0万元，支出决算为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15.16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万元，决算数大于年初预算数的主要原因是：</w:t>
      </w:r>
      <w:r>
        <w:rPr>
          <w:rFonts w:hint="eastAsia" w:ascii="Times New Roman" w:hAnsi="Times New Roman" w:eastAsia="仿宋_GB2312"/>
          <w:sz w:val="32"/>
          <w:szCs w:val="32"/>
        </w:rPr>
        <w:t>中央省上年项目资金结转结余的支出。</w:t>
      </w:r>
    </w:p>
    <w:p>
      <w:pPr>
        <w:pStyle w:val="12"/>
        <w:spacing w:line="600" w:lineRule="exact"/>
        <w:ind w:firstLine="800" w:firstLineChars="2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10、卫生健康支出（类）其他卫生健康支出（款）其他卫生健康支出（项）。</w:t>
      </w:r>
    </w:p>
    <w:p>
      <w:pPr>
        <w:pStyle w:val="12"/>
        <w:spacing w:line="600" w:lineRule="exact"/>
        <w:ind w:firstLine="800" w:firstLineChars="2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年初预算为0万元，支出决算为102.63万元，决算数大于年初预算数的主要原因是：</w:t>
      </w:r>
      <w:r>
        <w:rPr>
          <w:rFonts w:hint="eastAsia" w:ascii="Times New Roman" w:hAnsi="Times New Roman" w:eastAsia="仿宋_GB2312"/>
          <w:sz w:val="32"/>
          <w:szCs w:val="32"/>
        </w:rPr>
        <w:t>中央省当年下拨项目资金及上年项目资金结转结余的支出。</w:t>
      </w:r>
    </w:p>
    <w:p>
      <w:pPr>
        <w:pStyle w:val="12"/>
        <w:spacing w:line="600" w:lineRule="exact"/>
        <w:ind w:firstLine="800" w:firstLineChars="2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11、住房保障支出（类）住房改革支出（款）住房公积金（项）。</w:t>
      </w:r>
    </w:p>
    <w:p>
      <w:pPr>
        <w:pStyle w:val="12"/>
        <w:spacing w:line="600" w:lineRule="exact"/>
        <w:ind w:firstLine="800" w:firstLineChars="25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年初预算为127.07万元，支出决算为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117.55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2.51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%，决算数小于年初预算数的主要原因是：202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年有职工退休。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六、一般公共预算财政拨款基本支出决算情况说明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一般公共预算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财政拨款基本支出2067.18万元，其中：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人员经费</w:t>
      </w:r>
      <w:r>
        <w:rPr>
          <w:rFonts w:hint="eastAsia" w:ascii="仿宋_GB2312" w:hAnsi="仿宋_GB2312" w:eastAsia="仿宋_GB2312" w:cs="仿宋_GB2312"/>
          <w:sz w:val="32"/>
          <w:szCs w:val="32"/>
        </w:rPr>
        <w:t>1977.33万元，占基本支出的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95.65</w:t>
      </w:r>
      <w:r>
        <w:rPr>
          <w:rFonts w:hint="eastAsia" w:ascii="仿宋_GB2312" w:hAnsi="仿宋_GB2312" w:eastAsia="仿宋_GB2312" w:cs="仿宋_GB2312"/>
          <w:sz w:val="32"/>
          <w:szCs w:val="32"/>
        </w:rPr>
        <w:t>%,主要包括基本工资、津贴补贴、奖金、伙食补助费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绩效工资、机关事业单位基本养老保险缴费、职工基本医疗保险缴费、其他社会保障缴费、住房公积金、医疗费、退休费、抚恤金、医疗费补助、奖励金、其他对个人和家庭的补助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公用经费</w:t>
      </w:r>
      <w:r>
        <w:rPr>
          <w:rFonts w:hint="eastAsia" w:ascii="仿宋_GB2312" w:hAnsi="仿宋_GB2312" w:eastAsia="仿宋_GB2312" w:cs="仿宋_GB2312"/>
          <w:sz w:val="32"/>
          <w:szCs w:val="32"/>
        </w:rPr>
        <w:t>89.86万元，占基本支出的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4.35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%，主要包括办公费、印刷费、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手续费、</w:t>
      </w:r>
      <w:r>
        <w:rPr>
          <w:rFonts w:hint="eastAsia" w:ascii="仿宋_GB2312" w:hAnsi="仿宋_GB2312" w:eastAsia="仿宋_GB2312" w:cs="仿宋_GB2312"/>
          <w:sz w:val="32"/>
          <w:szCs w:val="32"/>
        </w:rPr>
        <w:t>邮电费、差旅费、维修（护）费、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会议费、</w:t>
      </w:r>
      <w:r>
        <w:rPr>
          <w:rFonts w:hint="eastAsia" w:ascii="仿宋_GB2312" w:hAnsi="仿宋_GB2312" w:eastAsia="仿宋_GB2312" w:cs="仿宋_GB2312"/>
          <w:sz w:val="32"/>
          <w:szCs w:val="32"/>
        </w:rPr>
        <w:t>培训费、公务接待费、劳务费、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委托业务费、</w:t>
      </w:r>
      <w:r>
        <w:rPr>
          <w:rFonts w:hint="eastAsia" w:ascii="仿宋_GB2312" w:hAnsi="仿宋_GB2312" w:eastAsia="仿宋_GB2312" w:cs="仿宋_GB2312"/>
          <w:sz w:val="32"/>
          <w:szCs w:val="32"/>
        </w:rPr>
        <w:t>工会经费、其他交通费用、税金及附加费用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其他商品和服务支出。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七、政府性基金预算收入支出决算情况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年度政府性基金预算财政拨款收入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万元；年初结转和结余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万元；年末结转和结余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  <w:t>八、国有资本经营预算财政拨款支出决算情况</w:t>
      </w:r>
    </w:p>
    <w:p>
      <w:pPr>
        <w:widowControl w:val="0"/>
        <w:autoSpaceDE w:val="0"/>
        <w:autoSpaceDN w:val="0"/>
        <w:adjustRightInd w:val="0"/>
        <w:ind w:firstLine="640" w:firstLineChars="200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2024年度国有资本经营预算财政拨款收入0万元；年初结转和结余0万；支出0万元，其中：基本支出0万元，项目支出0万元；年末结转和结余0万元。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eastAsia="zh-CN"/>
        </w:rPr>
        <w:t>九、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财政拨款三公经费支出决算情况说明</w:t>
      </w:r>
    </w:p>
    <w:p>
      <w:pPr>
        <w:pStyle w:val="12"/>
        <w:overflowPunct w:val="0"/>
        <w:autoSpaceDE/>
        <w:autoSpaceDN/>
        <w:spacing w:line="600" w:lineRule="exact"/>
        <w:ind w:firstLine="640" w:firstLineChars="200"/>
        <w:jc w:val="both"/>
        <w:rPr>
          <w:rFonts w:ascii="Times New Roman" w:hAnsi="Times New Roman" w:eastAsia="楷体_GB2312" w:cs="Times New Roman"/>
          <w:b/>
          <w:sz w:val="32"/>
          <w:szCs w:val="32"/>
        </w:rPr>
      </w:pPr>
      <w:r>
        <w:rPr>
          <w:rFonts w:ascii="Times New Roman" w:hAnsi="Times New Roman" w:eastAsia="楷体_GB2312" w:cs="Times New Roman"/>
          <w:b/>
          <w:sz w:val="32"/>
          <w:szCs w:val="32"/>
        </w:rPr>
        <w:t>（一）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eastAsia="zh-CN"/>
        </w:rPr>
        <w:t>“三公”</w:t>
      </w:r>
      <w:r>
        <w:rPr>
          <w:rFonts w:ascii="Times New Roman" w:hAnsi="Times New Roman" w:eastAsia="楷体_GB2312" w:cs="Times New Roman"/>
          <w:b/>
          <w:sz w:val="32"/>
          <w:szCs w:val="32"/>
        </w:rPr>
        <w:t>经费财政拨款支出决算总体情况说明</w:t>
      </w:r>
    </w:p>
    <w:p>
      <w:pPr>
        <w:pStyle w:val="12"/>
        <w:overflowPunct w:val="0"/>
        <w:autoSpaceDE/>
        <w:autoSpaceDN/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highlight w:val="yellow"/>
        </w:rPr>
      </w:pPr>
      <w:r>
        <w:rPr>
          <w:rFonts w:ascii="Times New Roman" w:hAnsi="Times New Roman" w:eastAsia="仿宋_GB2312" w:cs="Times New Roman"/>
          <w:sz w:val="32"/>
          <w:szCs w:val="32"/>
        </w:rPr>
        <w:t>2024年度“三公”经费财政拨款支出预算为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1.24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41.33</w:t>
      </w:r>
      <w:r>
        <w:rPr>
          <w:rFonts w:ascii="Times New Roman" w:hAnsi="Times New Roman" w:eastAsia="仿宋_GB2312" w:cs="Times New Roman"/>
          <w:sz w:val="32"/>
          <w:szCs w:val="32"/>
        </w:rPr>
        <w:t>%；与上年相比增加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0.15</w:t>
      </w:r>
      <w:r>
        <w:rPr>
          <w:rFonts w:ascii="Times New Roman" w:hAnsi="Times New Roman" w:eastAsia="仿宋_GB2312" w:cs="Times New Roman"/>
          <w:sz w:val="32"/>
          <w:szCs w:val="32"/>
        </w:rPr>
        <w:t>万元，增长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13.76</w:t>
      </w:r>
      <w:r>
        <w:rPr>
          <w:rFonts w:ascii="Times New Roman" w:hAnsi="Times New Roman" w:eastAsia="仿宋_GB2312" w:cs="Times New Roman"/>
          <w:sz w:val="32"/>
          <w:szCs w:val="32"/>
        </w:rPr>
        <w:t>%。决算数小于预算数的主要原因是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按有关政策厉行节约，严控“三公经费”支出</w:t>
      </w:r>
      <w:r>
        <w:rPr>
          <w:rFonts w:ascii="Times New Roman" w:hAnsi="Times New Roman" w:eastAsia="仿宋_GB2312" w:cs="Times New Roman"/>
          <w:sz w:val="32"/>
          <w:szCs w:val="32"/>
        </w:rPr>
        <w:t>。决算数大于上年数的主要原因是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上年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预算管理一体化系统故障提前关账，部分款项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</w:rPr>
        <w:t>2024年开账后支付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>
      <w:pPr>
        <w:pStyle w:val="12"/>
        <w:overflowPunct w:val="0"/>
        <w:autoSpaceDE/>
        <w:autoSpaceDN/>
        <w:spacing w:line="600" w:lineRule="exact"/>
        <w:ind w:firstLine="640" w:firstLineChars="200"/>
        <w:jc w:val="both"/>
        <w:rPr>
          <w:rFonts w:ascii="Times New Roman" w:hAnsi="Times New Roman" w:eastAsia="楷体_GB2312" w:cs="Times New Roman"/>
          <w:b/>
          <w:sz w:val="32"/>
          <w:szCs w:val="32"/>
        </w:rPr>
      </w:pPr>
      <w:r>
        <w:rPr>
          <w:rFonts w:ascii="Times New Roman" w:hAnsi="Times New Roman" w:eastAsia="楷体_GB2312" w:cs="Times New Roman"/>
          <w:b/>
          <w:sz w:val="32"/>
          <w:szCs w:val="32"/>
        </w:rPr>
        <w:t>（二）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eastAsia="zh-CN"/>
        </w:rPr>
        <w:t>“三公”</w:t>
      </w:r>
      <w:r>
        <w:rPr>
          <w:rFonts w:ascii="Times New Roman" w:hAnsi="Times New Roman" w:eastAsia="楷体_GB2312" w:cs="Times New Roman"/>
          <w:b/>
          <w:sz w:val="32"/>
          <w:szCs w:val="32"/>
        </w:rPr>
        <w:t>经费财政拨款支出决算具体情况说明</w:t>
      </w:r>
    </w:p>
    <w:p>
      <w:pPr>
        <w:pStyle w:val="12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highlight w:val="yellow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1.因公出国（境）费支出预算为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决算数等于预算数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，主要原因是我单位严格按预算执行决算</w:t>
      </w:r>
      <w:r>
        <w:rPr>
          <w:rFonts w:ascii="Times New Roman" w:hAnsi="Times New Roman" w:eastAsia="仿宋_GB2312" w:cs="Times New Roman"/>
          <w:sz w:val="32"/>
          <w:szCs w:val="32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与上年一致，无增减变动，主要原因是未安排因公出国（境）活动。</w:t>
      </w:r>
      <w:r>
        <w:rPr>
          <w:rFonts w:ascii="Times New Roman" w:hAnsi="Times New Roman" w:eastAsia="仿宋_GB2312" w:cs="Times New Roman"/>
          <w:sz w:val="32"/>
          <w:szCs w:val="32"/>
        </w:rPr>
        <w:t>2024年度安排因公出国（境）团组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sz w:val="32"/>
          <w:szCs w:val="32"/>
        </w:rPr>
        <w:t>个，累计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sz w:val="32"/>
          <w:szCs w:val="32"/>
        </w:rPr>
        <w:t>人次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pStyle w:val="12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公务用车购置费及运行维护费支出预算为0万元，支出决算为0万元，决算数等于预算数；与上年一致，无增减变动。其中：</w:t>
      </w:r>
    </w:p>
    <w:p>
      <w:pPr>
        <w:pStyle w:val="12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公务用车购置费支出预算为0万元，支出决算为0万元，决算数等于预算数，主要原因是我单位严格按预算执行决算；与上年一致，无增减变动，主要原因是两年均未购置公务用车。本单位更新公务用车0辆。</w:t>
      </w:r>
    </w:p>
    <w:p>
      <w:pPr>
        <w:pStyle w:val="12"/>
        <w:overflowPunct w:val="0"/>
        <w:autoSpaceDE/>
        <w:autoSpaceDN/>
        <w:spacing w:line="600" w:lineRule="exact"/>
        <w:ind w:firstLine="640" w:firstLineChars="200"/>
        <w:jc w:val="both"/>
        <w:rPr>
          <w:rFonts w:ascii="Times New Roman" w:hAnsi="Times New Roman" w:eastAsia="楷体" w:cs="Times New Roman"/>
          <w:b/>
          <w:bCs/>
          <w:i/>
          <w:color w:val="FF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公务用车运行维护费支出预算为0万元，支出决算为0万元，决算数等于预算数，主要原因是我单位严格按预算执行决算；与上年一致，无增减变动，主要原因是两年均无公务用车需要运行维护。 截止到2024年12月31日，我单位开支财政拨款的公务用车保有量为0辆。</w:t>
      </w:r>
    </w:p>
    <w:p>
      <w:pPr>
        <w:numPr>
          <w:ilvl w:val="0"/>
          <w:numId w:val="2"/>
        </w:numPr>
        <w:ind w:firstLine="640" w:firstLineChars="200"/>
        <w:rPr>
          <w:rFonts w:hint="eastAsia" w:ascii="Times New Roman" w:hAnsi="Times New Roman" w:eastAsia="仿宋_GB2312"/>
          <w:b/>
          <w:color w:val="auto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公务接待费支出预算为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1.24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41.33</w:t>
      </w:r>
      <w:r>
        <w:rPr>
          <w:rFonts w:ascii="Times New Roman" w:hAnsi="Times New Roman" w:eastAsia="仿宋_GB2312" w:cs="Times New Roman"/>
          <w:sz w:val="32"/>
          <w:szCs w:val="32"/>
        </w:rPr>
        <w:t>%；与上年相比增加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0.15</w:t>
      </w:r>
      <w:r>
        <w:rPr>
          <w:rFonts w:ascii="Times New Roman" w:hAnsi="Times New Roman" w:eastAsia="仿宋_GB2312" w:cs="Times New Roman"/>
          <w:sz w:val="32"/>
          <w:szCs w:val="32"/>
        </w:rPr>
        <w:t>万元，增长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13.76</w:t>
      </w:r>
      <w:r>
        <w:rPr>
          <w:rFonts w:ascii="Times New Roman" w:hAnsi="Times New Roman" w:eastAsia="仿宋_GB2312" w:cs="Times New Roman"/>
          <w:sz w:val="32"/>
          <w:szCs w:val="32"/>
        </w:rPr>
        <w:t>%。决算数小于预算数的主要原因是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按有关政策厉行节约，严控“三公经费”支出</w:t>
      </w:r>
      <w:r>
        <w:rPr>
          <w:rFonts w:ascii="Times New Roman" w:hAnsi="Times New Roman" w:eastAsia="仿宋_GB2312" w:cs="Times New Roman"/>
          <w:sz w:val="32"/>
          <w:szCs w:val="32"/>
        </w:rPr>
        <w:t>。决算数大于上年数的主要原因是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上年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预算管理一体化系统故障提前关账，部分款项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</w:rPr>
        <w:t>2024年开账后支付</w:t>
      </w:r>
      <w:r>
        <w:rPr>
          <w:rFonts w:ascii="Times New Roman" w:hAnsi="Times New Roman" w:eastAsia="仿宋_GB2312" w:cs="Times New Roman"/>
          <w:sz w:val="32"/>
          <w:szCs w:val="32"/>
        </w:rPr>
        <w:t>。2024年度共接待来访团组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24</w:t>
      </w:r>
      <w:r>
        <w:rPr>
          <w:rFonts w:ascii="Times New Roman" w:hAnsi="Times New Roman" w:eastAsia="仿宋_GB2312" w:cs="Times New Roman"/>
          <w:sz w:val="32"/>
          <w:szCs w:val="32"/>
        </w:rPr>
        <w:t>个、来宾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149</w:t>
      </w:r>
      <w:r>
        <w:rPr>
          <w:rFonts w:ascii="Times New Roman" w:hAnsi="Times New Roman" w:eastAsia="仿宋_GB2312" w:cs="Times New Roman"/>
          <w:sz w:val="32"/>
          <w:szCs w:val="32"/>
        </w:rPr>
        <w:t>人次</w:t>
      </w:r>
      <w:bookmarkStart w:id="0" w:name="_GoBack"/>
      <w:bookmarkEnd w:id="0"/>
      <w:r>
        <w:rPr>
          <w:rFonts w:ascii="Times New Roman" w:hAnsi="Times New Roman" w:eastAsia="仿宋_GB2312" w:cs="Times New Roman"/>
          <w:sz w:val="32"/>
          <w:szCs w:val="32"/>
        </w:rPr>
        <w:t>，主要是</w:t>
      </w:r>
      <w:r>
        <w:rPr>
          <w:rFonts w:hint="eastAsia" w:ascii="仿宋_GB2312" w:hAnsi="仿宋_GB2312" w:eastAsia="仿宋_GB2312" w:cs="仿宋_GB2312"/>
          <w:sz w:val="32"/>
          <w:szCs w:val="32"/>
        </w:rPr>
        <w:t>迎接上级检查督导、其他地市工作交流以及县区疾控送样、工作联系</w:t>
      </w:r>
      <w:r>
        <w:rPr>
          <w:rFonts w:hint="eastAsia" w:ascii="Times New Roman" w:hAnsi="Times New Roman" w:eastAsia="仿宋_GB2312"/>
          <w:sz w:val="32"/>
          <w:szCs w:val="32"/>
        </w:rPr>
        <w:t>等</w:t>
      </w:r>
      <w:r>
        <w:rPr>
          <w:rFonts w:ascii="Times New Roman" w:hAnsi="Times New Roman" w:eastAsia="仿宋_GB2312" w:cs="Times New Roman"/>
          <w:sz w:val="32"/>
          <w:szCs w:val="32"/>
        </w:rPr>
        <w:t>发生的接待支出。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/>
          <w:color w:val="auto"/>
          <w:sz w:val="32"/>
          <w:szCs w:val="32"/>
          <w:lang w:eastAsia="zh-CN"/>
        </w:rPr>
        <w:t>十</w:t>
      </w:r>
      <w:r>
        <w:rPr>
          <w:rFonts w:hint="eastAsia" w:ascii="Times New Roman" w:hAnsi="Times New Roman" w:eastAsia="仿宋_GB2312"/>
          <w:b/>
          <w:color w:val="auto"/>
          <w:sz w:val="32"/>
          <w:szCs w:val="32"/>
        </w:rPr>
        <w:t>、关于机关运行经费支出说明</w:t>
      </w:r>
    </w:p>
    <w:p>
      <w:pPr>
        <w:pStyle w:val="12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本单位为事业单位，按照机关运行经费的口径，本年度机关运行经费为0</w:t>
      </w:r>
      <w:r>
        <w:rPr>
          <w:rFonts w:hint="eastAsia" w:ascii="楷体" w:hAnsi="楷体" w:eastAsia="楷体" w:cs="楷体"/>
          <w:sz w:val="32"/>
          <w:szCs w:val="32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、一般性支出情况说明</w:t>
      </w:r>
    </w:p>
    <w:p>
      <w:pPr>
        <w:pStyle w:val="12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年度，会议费年初预算0万元，支出决算为1.31万元，决算数大于年初预算数的主要原因是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年初预算数计算口径为公用财政批复数，支出决算数计算口径为公用及项目经费支出数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。用于召开1次会议，</w:t>
      </w:r>
      <w:r>
        <w:rPr>
          <w:rFonts w:hint="eastAsia" w:ascii="仿宋_GB2312" w:hAnsi="仿宋_GB2312" w:eastAsia="仿宋_GB2312" w:cs="仿宋_GB2312"/>
          <w:sz w:val="32"/>
          <w:szCs w:val="32"/>
        </w:rPr>
        <w:t>人数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75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人，内容为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全市疾控工作会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widowControl w:val="0"/>
        <w:autoSpaceDE w:val="0"/>
        <w:autoSpaceDN w:val="0"/>
        <w:adjustRightInd w:val="0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培训费年初预算0万元，支出决算为58.61万元，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决算数大于年初预算数的主要原因是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年初预算数计算口径为公用财政批复数，支出决算数计算口径为公用及项目经费支出数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。用于开展16次培训，人数960人，内容为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血吸虫病防治、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预防接种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能力提升、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学生常见病和健康影响监测与干预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、结核病防控、地方病寄生虫病防治、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职业病防治、重大传染病监测与防控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、艾滋病性病丙肝综合防治培训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本单位无举办节庆、晚会、论坛、赛事等活动的预算和支出决算数。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、关于政府采购支出说明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年度政府采购支出总额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760.89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万元，其中：政府采购货物支出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608.56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万元、政府采购工程支出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28.62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万元、政府采购服务支出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123.71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万元。授予中小企业合同金额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731.38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万元，占政府采购支出总额的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96.12</w:t>
      </w:r>
      <w:r>
        <w:rPr>
          <w:rFonts w:hint="eastAsia" w:ascii="仿宋_GB2312" w:hAnsi="仿宋_GB2312" w:eastAsia="仿宋_GB2312" w:cs="仿宋_GB2312"/>
          <w:sz w:val="32"/>
          <w:szCs w:val="32"/>
        </w:rPr>
        <w:t>%，其中：授予小微企业合同金额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720.34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授予中小企业合同金额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98.49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%。货物采购授予中小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企业合同金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额占货物支出金额的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%，工程采购授予中小企业合同金额占工程支出金额的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%，服务采购授予中小企业合同金额占服务支出金额的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76.15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、关于国有资产占用情况说明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截至202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年12月31日，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本单位共有车辆0辆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，其中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，副部（省）级及以上领导用车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主要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负责人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机要通信用车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辆、应急保障用车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辆、执法执勤用车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辆、特种专业技术用车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离退休干部服务用车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辆、其他用车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辆；单位价值100万元以上设备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（不含车辆）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台（套）。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highlight w:val="none"/>
          <w:lang w:eastAsia="zh-CN"/>
        </w:rPr>
        <w:t>四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  <w:t>、关于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  <w:t>年度</w:t>
      </w:r>
      <w:r>
        <w:rPr>
          <w:rFonts w:hint="eastAsia" w:hAnsi="黑体" w:cs="黑体"/>
          <w:b w:val="0"/>
          <w:bCs/>
          <w:color w:val="auto"/>
          <w:sz w:val="32"/>
          <w:szCs w:val="32"/>
          <w:highlight w:val="none"/>
          <w:lang w:eastAsia="zh-CN"/>
        </w:rPr>
        <w:t>预算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  <w:t>绩效</w:t>
      </w:r>
      <w:r>
        <w:rPr>
          <w:rFonts w:hint="eastAsia" w:hAnsi="黑体" w:cs="黑体"/>
          <w:b w:val="0"/>
          <w:bCs/>
          <w:color w:val="auto"/>
          <w:sz w:val="32"/>
          <w:szCs w:val="32"/>
          <w:highlight w:val="none"/>
          <w:lang w:eastAsia="zh-CN"/>
        </w:rPr>
        <w:t>管理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  <w:t>情况的说明</w:t>
      </w:r>
    </w:p>
    <w:p>
      <w:pPr>
        <w:overflowPunct w:val="0"/>
        <w:spacing w:line="600" w:lineRule="exact"/>
        <w:ind w:firstLine="640" w:firstLineChars="200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（一）绩效评价工作开展情况</w:t>
      </w:r>
    </w:p>
    <w:p>
      <w:pPr>
        <w:overflowPunct w:val="0"/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/>
        </w:rPr>
        <w:t>绩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效自评开展情况。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组织对2024年度本部门（单位）整体支出开展绩效自评，涉及项目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个，共涉及资金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285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万元。其中，一般公共预算项目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285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万元，占一般公共预算支出总额的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%；政府性基金预算项目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万元，占政府性基金预算支出总额的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%；国有资本经营预算项目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万元，占国有资本经营预算支出总额的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</w:t>
      </w:r>
      <w:r>
        <w:rPr>
          <w:rFonts w:ascii="Times New Roman" w:hAnsi="Times New Roman" w:eastAsia="仿宋_GB2312" w:cs="Times New Roman"/>
          <w:kern w:val="0"/>
          <w:sz w:val="32"/>
          <w:szCs w:val="32"/>
          <w:highlight w:val="none"/>
        </w:rPr>
        <w:t>社会保险基金预算项目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  <w:highlight w:val="none"/>
        </w:rPr>
        <w:t>个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  <w:highlight w:val="none"/>
        </w:rPr>
        <w:t xml:space="preserve"> 万元，占社会保险基金预算支出总额的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ascii="Times New Roman" w:hAnsi="Times New Roman" w:eastAsia="仿宋_GB2312" w:cs="Times New Roman"/>
          <w:kern w:val="0"/>
          <w:sz w:val="32"/>
          <w:szCs w:val="32"/>
          <w:highlight w:val="none"/>
        </w:rPr>
        <w:t>%。</w:t>
      </w:r>
    </w:p>
    <w:p>
      <w:pPr>
        <w:overflowPunct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color w:val="FF000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2.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部门评价开展情况。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本单位为二级预算单位，部门评价开展情况可详见上级部门决算公开说明。</w:t>
      </w:r>
    </w:p>
    <w:p>
      <w:pPr>
        <w:overflowPunct w:val="0"/>
        <w:spacing w:line="600" w:lineRule="exact"/>
        <w:ind w:firstLine="640" w:firstLineChars="200"/>
        <w:rPr>
          <w:rFonts w:ascii="Times New Roman" w:hAnsi="Times New Roman" w:eastAsia="楷体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3.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事前绩效评估开展情况。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本单位为二级预算单位，事前绩效评估开展情况可详见上级部门决算公开说明。</w:t>
      </w:r>
    </w:p>
    <w:p>
      <w:pPr>
        <w:overflowPunct w:val="0"/>
        <w:spacing w:line="600" w:lineRule="exact"/>
        <w:ind w:firstLine="640" w:firstLineChars="200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（二）绩效评价结果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1.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绩效自评结果。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2024年度本部门（单位）整体支出</w:t>
      </w:r>
      <w:r>
        <w:rPr>
          <w:rFonts w:ascii="Times New Roman" w:hAnsi="Times New Roman" w:eastAsia="仿宋_GB2312" w:cs="Times New Roman"/>
          <w:sz w:val="32"/>
          <w:szCs w:val="32"/>
        </w:rPr>
        <w:t>全年预算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数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4282.35</w:t>
      </w:r>
      <w:r>
        <w:rPr>
          <w:rFonts w:ascii="Times New Roman" w:hAnsi="Times New Roman" w:eastAsia="仿宋_GB2312" w:cs="Times New Roman"/>
          <w:sz w:val="32"/>
          <w:szCs w:val="32"/>
        </w:rPr>
        <w:t>万元，执行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数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3425.63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</w:t>
      </w:r>
      <w:r>
        <w:rPr>
          <w:rFonts w:ascii="Times New Roman" w:hAnsi="Times New Roman" w:eastAsia="仿宋_GB2312" w:cs="Times New Roman"/>
          <w:sz w:val="32"/>
          <w:szCs w:val="32"/>
        </w:rPr>
        <w:t>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79.99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，绩效自评得分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98</w:t>
      </w:r>
      <w:r>
        <w:rPr>
          <w:rFonts w:ascii="Times New Roman" w:hAnsi="Times New Roman" w:eastAsia="仿宋_GB2312" w:cs="Times New Roman"/>
          <w:sz w:val="32"/>
          <w:szCs w:val="32"/>
        </w:rPr>
        <w:t>分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，评价等级为</w:t>
      </w:r>
      <w:r>
        <w:rPr>
          <w:rFonts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优</w:t>
      </w:r>
      <w:r>
        <w:rPr>
          <w:rFonts w:ascii="Times New Roman" w:hAnsi="Times New Roman" w:eastAsia="仿宋_GB2312" w:cs="Times New Roman"/>
          <w:sz w:val="32"/>
          <w:szCs w:val="32"/>
        </w:rPr>
        <w:t>”。绩效目标完成情况：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预算下拨经费基本按进度使用，基本支出及免疫规划项目经费已全部使用</w:t>
      </w:r>
      <w:r>
        <w:rPr>
          <w:rFonts w:ascii="Times New Roman" w:hAnsi="Times New Roman" w:eastAsia="仿宋_GB2312" w:cs="Times New Roman"/>
          <w:sz w:val="32"/>
          <w:szCs w:val="32"/>
        </w:rPr>
        <w:t>。发现的主要问题及原因：</w:t>
      </w:r>
      <w:r>
        <w:rPr>
          <w:rFonts w:hint="eastAsia" w:ascii="仿宋" w:hAnsi="仿宋" w:eastAsia="仿宋"/>
          <w:sz w:val="32"/>
          <w:szCs w:val="32"/>
        </w:rPr>
        <w:t>部分项目资金下达时间与相关文件下达以及项目实施、经费使用的时间不同步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sz w:val="32"/>
          <w:szCs w:val="32"/>
        </w:rPr>
        <w:t>在专项资金下达的工作任务和资金分配方案中，部分项目专项资金用途、开支标准不明确</w:t>
      </w:r>
      <w:r>
        <w:rPr>
          <w:rFonts w:ascii="Times New Roman" w:hAnsi="Times New Roman" w:eastAsia="仿宋_GB2312" w:cs="Times New Roman"/>
          <w:sz w:val="32"/>
          <w:szCs w:val="32"/>
        </w:rPr>
        <w:t>。下一步改进措施：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加快资金使用进度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>
      <w:pPr>
        <w:overflowPunct w:val="0"/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2.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部门评价结果。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本单位为二级预算单位，部门评价结果可详见上级部门决算公开说明。</w:t>
      </w:r>
    </w:p>
    <w:p>
      <w:pPr>
        <w:overflowPunct w:val="0"/>
        <w:spacing w:line="600" w:lineRule="exact"/>
        <w:ind w:firstLine="640" w:firstLineChars="200"/>
        <w:rPr>
          <w:rFonts w:hint="eastAsia" w:ascii="Times New Roman" w:hAnsi="Times New Roman" w:eastAsia="仿宋_GB2312"/>
          <w:color w:val="FF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lang w:val="en-US" w:eastAsia="zh-CN"/>
        </w:rPr>
        <w:t>事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  <w:highlight w:val="none"/>
        </w:rPr>
        <w:t>前绩效评估结果。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本单位为二级预算单位，事前绩效评估结果可详见上级部门决算公开说明。</w:t>
      </w:r>
    </w:p>
    <w:p>
      <w:pPr>
        <w:numPr>
          <w:ilvl w:val="0"/>
          <w:numId w:val="3"/>
        </w:numPr>
        <w:autoSpaceDE w:val="0"/>
        <w:autoSpaceDN w:val="0"/>
        <w:adjustRightInd w:val="0"/>
        <w:ind w:firstLine="640" w:firstLineChars="200"/>
        <w:jc w:val="left"/>
        <w:rPr>
          <w:rFonts w:ascii="Times New Roman" w:hAnsi="Times New Roman" w:eastAsia="楷体_GB2312" w:cs="Times New Roman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楷体_GB2312" w:cs="Times New Roman"/>
          <w:b/>
          <w:bCs/>
          <w:color w:val="auto"/>
          <w:kern w:val="2"/>
          <w:sz w:val="32"/>
          <w:szCs w:val="32"/>
          <w:highlight w:val="none"/>
        </w:rPr>
        <w:t>评价结果应用情况</w:t>
      </w:r>
    </w:p>
    <w:p>
      <w:pPr>
        <w:numPr>
          <w:ilvl w:val="0"/>
          <w:numId w:val="0"/>
        </w:numPr>
        <w:autoSpaceDE w:val="0"/>
        <w:autoSpaceDN w:val="0"/>
        <w:adjustRightInd w:val="0"/>
        <w:ind w:firstLine="640" w:firstLineChars="200"/>
        <w:jc w:val="left"/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请根据2024年度绩效自评结果、部门评价结果、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事前绩效</w:t>
      </w:r>
      <w: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  <w:t>评价结果对本部门2025年度预算安排，支出结构调整，资金管理，制度建设等方面结果运用进行简要说明。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预算绩效管理开展情况、绩效目标和绩效评价报告等，已在市政府部门财政预决算公开平台上向社会公开，详见附件。</w:t>
      </w:r>
    </w:p>
    <w:p>
      <w:pPr>
        <w:pStyle w:val="2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eastAsia" w:ascii="楷体" w:hAnsi="楷体" w:eastAsia="楷体" w:cs="楷体"/>
          <w:b/>
          <w:bCs/>
          <w:i w:val="0"/>
          <w:iCs w:val="0"/>
          <w:color w:val="FF0000"/>
          <w:kern w:val="0"/>
          <w:sz w:val="36"/>
          <w:szCs w:val="36"/>
          <w:lang w:val="en-US" w:eastAsia="zh-CN"/>
        </w:rPr>
      </w:pPr>
    </w:p>
    <w:p>
      <w:pPr>
        <w:numPr>
          <w:ilvl w:val="0"/>
          <w:numId w:val="0"/>
        </w:numPr>
        <w:autoSpaceDE w:val="0"/>
        <w:autoSpaceDN w:val="0"/>
        <w:adjustRightInd w:val="0"/>
        <w:jc w:val="left"/>
        <w:rPr>
          <w:sz w:val="72"/>
          <w:szCs w:val="72"/>
        </w:rPr>
      </w:pPr>
    </w:p>
    <w:p>
      <w:pPr>
        <w:pStyle w:val="12"/>
        <w:jc w:val="both"/>
        <w:rPr>
          <w:rFonts w:hint="eastAsia" w:ascii="方正小标宋_GBK" w:hAnsi="方正小标宋_GBK" w:eastAsia="方正小标宋_GBK" w:cs="方正小标宋_GBK"/>
          <w:sz w:val="24"/>
          <w:szCs w:val="24"/>
          <w:lang w:val="en-US" w:eastAsia="zh-CN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第四部分</w:t>
      </w:r>
    </w:p>
    <w:p>
      <w:pPr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  <w:t>名词解释</w:t>
      </w:r>
    </w:p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一、“三公”经费：指用财政拨款安排的因公出国（境）费、公务用车购置及运行费和公务接待费。其中，因公出国（境）费反映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二、机关运行经费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，指为保障行政单位（包括参照公务员法管理的事业单位）运行用于购买货物和服务的各项资金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，包括办公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费、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印刷费、邮电费、差旅费、会议费、日常维修费、专用材料及一般设备购置费、办公用房水电费、办公用房取暖费、办公用房物业管理费、公务用车运行维护费以及其他费用。</w:t>
      </w:r>
    </w:p>
    <w:p>
      <w:pPr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i/>
          <w:color w:val="FF0000"/>
          <w:kern w:val="0"/>
          <w:sz w:val="32"/>
          <w:szCs w:val="32"/>
          <w:lang w:val="en-US" w:eastAsia="zh-CN" w:bidi="ar-SA"/>
        </w:rPr>
      </w:pPr>
    </w:p>
    <w:p>
      <w:pPr>
        <w:pStyle w:val="12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/>
    <w:p>
      <w:pPr>
        <w:pStyle w:val="2"/>
      </w:pPr>
    </w:p>
    <w:p>
      <w:pPr>
        <w:pStyle w:val="12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</w:t>
      </w:r>
      <w:r>
        <w:rPr>
          <w:rFonts w:hint="eastAsia" w:ascii="方正小标宋_GBK" w:hAnsi="方正小标宋_GBK" w:eastAsia="方正小标宋_GBK" w:cs="方正小标宋_GBK"/>
          <w:sz w:val="72"/>
          <w:szCs w:val="72"/>
          <w:lang w:eastAsia="zh-CN"/>
        </w:rPr>
        <w:t>五</w:t>
      </w: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部分</w:t>
      </w:r>
    </w:p>
    <w:p>
      <w:pPr>
        <w:pStyle w:val="12"/>
        <w:jc w:val="both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附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件</w:t>
      </w:r>
    </w:p>
    <w:p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</w:p>
    <w:p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1、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年部门决算公开表格</w:t>
      </w:r>
    </w:p>
    <w:p>
      <w:pPr>
        <w:ind w:firstLine="640" w:firstLineChars="200"/>
        <w:jc w:val="left"/>
        <w:rPr>
          <w:rFonts w:ascii="宋体" w:hAnsi="宋体" w:eastAsia="宋体" w:cs="黑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2、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highlight w:val="none"/>
        </w:rPr>
        <w:t>202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年度部门整体支出绩效评价报告</w:t>
      </w:r>
    </w:p>
    <w:p/>
    <w:sectPr>
      <w:pgSz w:w="11906" w:h="16838"/>
      <w:pgMar w:top="720" w:right="720" w:bottom="720" w:left="72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DECFD4"/>
    <w:multiLevelType w:val="singleLevel"/>
    <w:tmpl w:val="8EDECFD4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3CBC331"/>
    <w:multiLevelType w:val="singleLevel"/>
    <w:tmpl w:val="E3CBC331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73518C1"/>
    <w:multiLevelType w:val="multilevel"/>
    <w:tmpl w:val="373518C1"/>
    <w:lvl w:ilvl="0" w:tentative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iYWViMjY4ZWE4Njc4YTk1MjUyNjYxOTllY2ZhMmYifQ=="/>
  </w:docVars>
  <w:rsids>
    <w:rsidRoot w:val="004506F9"/>
    <w:rsid w:val="0002229B"/>
    <w:rsid w:val="000273BD"/>
    <w:rsid w:val="00040CBC"/>
    <w:rsid w:val="000415B7"/>
    <w:rsid w:val="00041E3F"/>
    <w:rsid w:val="00055DAA"/>
    <w:rsid w:val="00061F7B"/>
    <w:rsid w:val="000658A3"/>
    <w:rsid w:val="00074155"/>
    <w:rsid w:val="000A3F69"/>
    <w:rsid w:val="00103957"/>
    <w:rsid w:val="00152C6D"/>
    <w:rsid w:val="00162D39"/>
    <w:rsid w:val="001678BD"/>
    <w:rsid w:val="00182373"/>
    <w:rsid w:val="001A67DB"/>
    <w:rsid w:val="001C3C29"/>
    <w:rsid w:val="001D51E5"/>
    <w:rsid w:val="001E080D"/>
    <w:rsid w:val="001E53D0"/>
    <w:rsid w:val="001F0C3B"/>
    <w:rsid w:val="00202C82"/>
    <w:rsid w:val="00214427"/>
    <w:rsid w:val="00226CB7"/>
    <w:rsid w:val="00264552"/>
    <w:rsid w:val="00264EF9"/>
    <w:rsid w:val="00265724"/>
    <w:rsid w:val="0027426B"/>
    <w:rsid w:val="002E0A30"/>
    <w:rsid w:val="003130C4"/>
    <w:rsid w:val="00316C4B"/>
    <w:rsid w:val="0032192B"/>
    <w:rsid w:val="003479BD"/>
    <w:rsid w:val="0037197D"/>
    <w:rsid w:val="003768D5"/>
    <w:rsid w:val="003926B9"/>
    <w:rsid w:val="003C47E6"/>
    <w:rsid w:val="003C4FC2"/>
    <w:rsid w:val="00416E61"/>
    <w:rsid w:val="0042790C"/>
    <w:rsid w:val="004506F9"/>
    <w:rsid w:val="004717A2"/>
    <w:rsid w:val="00473DF3"/>
    <w:rsid w:val="00487911"/>
    <w:rsid w:val="00491741"/>
    <w:rsid w:val="004B0CEE"/>
    <w:rsid w:val="00500E5F"/>
    <w:rsid w:val="005122EF"/>
    <w:rsid w:val="0051441A"/>
    <w:rsid w:val="00517C33"/>
    <w:rsid w:val="00517D5F"/>
    <w:rsid w:val="00523644"/>
    <w:rsid w:val="0054069E"/>
    <w:rsid w:val="00544866"/>
    <w:rsid w:val="005767CC"/>
    <w:rsid w:val="00590D9F"/>
    <w:rsid w:val="00595D26"/>
    <w:rsid w:val="005A74E6"/>
    <w:rsid w:val="005B404E"/>
    <w:rsid w:val="005D4D55"/>
    <w:rsid w:val="005E2CFB"/>
    <w:rsid w:val="005F2103"/>
    <w:rsid w:val="005F3D1C"/>
    <w:rsid w:val="0062378F"/>
    <w:rsid w:val="00641842"/>
    <w:rsid w:val="00651EEC"/>
    <w:rsid w:val="00686673"/>
    <w:rsid w:val="00691E8C"/>
    <w:rsid w:val="006A22C4"/>
    <w:rsid w:val="006A351B"/>
    <w:rsid w:val="006B0422"/>
    <w:rsid w:val="006C1B53"/>
    <w:rsid w:val="006D7730"/>
    <w:rsid w:val="006E5284"/>
    <w:rsid w:val="006F3EB5"/>
    <w:rsid w:val="00702E34"/>
    <w:rsid w:val="00704395"/>
    <w:rsid w:val="00710FE7"/>
    <w:rsid w:val="00717621"/>
    <w:rsid w:val="00720FF1"/>
    <w:rsid w:val="00727A53"/>
    <w:rsid w:val="00787B42"/>
    <w:rsid w:val="007C4539"/>
    <w:rsid w:val="007F3657"/>
    <w:rsid w:val="00812ED5"/>
    <w:rsid w:val="008277D9"/>
    <w:rsid w:val="0084478C"/>
    <w:rsid w:val="0086638C"/>
    <w:rsid w:val="008A3E8D"/>
    <w:rsid w:val="009237C4"/>
    <w:rsid w:val="00944C48"/>
    <w:rsid w:val="00950252"/>
    <w:rsid w:val="00967F5D"/>
    <w:rsid w:val="009A0F95"/>
    <w:rsid w:val="009B3ADF"/>
    <w:rsid w:val="009B4D8E"/>
    <w:rsid w:val="009C3B52"/>
    <w:rsid w:val="009E6817"/>
    <w:rsid w:val="009E6E9A"/>
    <w:rsid w:val="00A01D2B"/>
    <w:rsid w:val="00A42218"/>
    <w:rsid w:val="00A70249"/>
    <w:rsid w:val="00A70B02"/>
    <w:rsid w:val="00A71D9F"/>
    <w:rsid w:val="00A92E9F"/>
    <w:rsid w:val="00AB18FF"/>
    <w:rsid w:val="00B33BEA"/>
    <w:rsid w:val="00B57C9F"/>
    <w:rsid w:val="00B63572"/>
    <w:rsid w:val="00B845B3"/>
    <w:rsid w:val="00B85D8B"/>
    <w:rsid w:val="00BB4A40"/>
    <w:rsid w:val="00BD6C3E"/>
    <w:rsid w:val="00BE3674"/>
    <w:rsid w:val="00C10681"/>
    <w:rsid w:val="00C3049A"/>
    <w:rsid w:val="00C31B1E"/>
    <w:rsid w:val="00C77645"/>
    <w:rsid w:val="00CE04C3"/>
    <w:rsid w:val="00CE76A0"/>
    <w:rsid w:val="00D148C6"/>
    <w:rsid w:val="00D17A8A"/>
    <w:rsid w:val="00D415BA"/>
    <w:rsid w:val="00D63780"/>
    <w:rsid w:val="00D644EE"/>
    <w:rsid w:val="00DD06FF"/>
    <w:rsid w:val="00DD5FE9"/>
    <w:rsid w:val="00E00C7A"/>
    <w:rsid w:val="00E37D6C"/>
    <w:rsid w:val="00E55B68"/>
    <w:rsid w:val="00E561AE"/>
    <w:rsid w:val="00E67BE6"/>
    <w:rsid w:val="00E8683C"/>
    <w:rsid w:val="00EA2B72"/>
    <w:rsid w:val="00F74360"/>
    <w:rsid w:val="00FB462F"/>
    <w:rsid w:val="00FE16FA"/>
    <w:rsid w:val="00FE328A"/>
    <w:rsid w:val="00FE6269"/>
    <w:rsid w:val="00FF5CD6"/>
    <w:rsid w:val="059958AD"/>
    <w:rsid w:val="06C857E7"/>
    <w:rsid w:val="08C24A73"/>
    <w:rsid w:val="11944E2C"/>
    <w:rsid w:val="12583BA5"/>
    <w:rsid w:val="13BA5B9C"/>
    <w:rsid w:val="1D97DEFF"/>
    <w:rsid w:val="1DFE69B5"/>
    <w:rsid w:val="1DFF72E5"/>
    <w:rsid w:val="1EFC6F07"/>
    <w:rsid w:val="1F0527A6"/>
    <w:rsid w:val="22AC03C2"/>
    <w:rsid w:val="283B15FE"/>
    <w:rsid w:val="2F140020"/>
    <w:rsid w:val="2FDF85B8"/>
    <w:rsid w:val="2FFFEE04"/>
    <w:rsid w:val="31C95635"/>
    <w:rsid w:val="34DF85B0"/>
    <w:rsid w:val="3B8F36BC"/>
    <w:rsid w:val="43EB5BA5"/>
    <w:rsid w:val="491FF225"/>
    <w:rsid w:val="4E1927C3"/>
    <w:rsid w:val="4EC310A1"/>
    <w:rsid w:val="4FFD214C"/>
    <w:rsid w:val="5352765A"/>
    <w:rsid w:val="5777D4F5"/>
    <w:rsid w:val="57F22B6F"/>
    <w:rsid w:val="59DD8326"/>
    <w:rsid w:val="5DEF592A"/>
    <w:rsid w:val="5FC6BB1E"/>
    <w:rsid w:val="5FF720F1"/>
    <w:rsid w:val="622964C1"/>
    <w:rsid w:val="67FF5C0B"/>
    <w:rsid w:val="6BAA4A2F"/>
    <w:rsid w:val="6DDEC5C0"/>
    <w:rsid w:val="6EFC0924"/>
    <w:rsid w:val="6FB74722"/>
    <w:rsid w:val="6FEF8B7E"/>
    <w:rsid w:val="717FE77F"/>
    <w:rsid w:val="71A6591B"/>
    <w:rsid w:val="737D59BA"/>
    <w:rsid w:val="737F32B1"/>
    <w:rsid w:val="73BD3FCA"/>
    <w:rsid w:val="776BDA01"/>
    <w:rsid w:val="77C37683"/>
    <w:rsid w:val="79FF515B"/>
    <w:rsid w:val="7DFBFF20"/>
    <w:rsid w:val="7E9E1962"/>
    <w:rsid w:val="7E9F11B4"/>
    <w:rsid w:val="7F37EC1E"/>
    <w:rsid w:val="7F7C0DDA"/>
    <w:rsid w:val="7F7DCD9D"/>
    <w:rsid w:val="7F970A6F"/>
    <w:rsid w:val="7FC1FFF3"/>
    <w:rsid w:val="7FC69637"/>
    <w:rsid w:val="7FDF8620"/>
    <w:rsid w:val="7FFB242F"/>
    <w:rsid w:val="7FFDB408"/>
    <w:rsid w:val="7FFE4EEB"/>
    <w:rsid w:val="95FB2B98"/>
    <w:rsid w:val="9A639BC2"/>
    <w:rsid w:val="9FF7D786"/>
    <w:rsid w:val="ABBFB23D"/>
    <w:rsid w:val="B6BE5A03"/>
    <w:rsid w:val="B8C93228"/>
    <w:rsid w:val="C3B4DA5A"/>
    <w:rsid w:val="C4FF458C"/>
    <w:rsid w:val="C7BBD038"/>
    <w:rsid w:val="CBFF70E0"/>
    <w:rsid w:val="CFF50B82"/>
    <w:rsid w:val="CFFFAD89"/>
    <w:rsid w:val="DFFE359E"/>
    <w:rsid w:val="DFFE4FFD"/>
    <w:rsid w:val="DFFF5403"/>
    <w:rsid w:val="EBC3E00A"/>
    <w:rsid w:val="EDFBE100"/>
    <w:rsid w:val="EEABED75"/>
    <w:rsid w:val="EF7E8003"/>
    <w:rsid w:val="F56FDF51"/>
    <w:rsid w:val="F5F3EE78"/>
    <w:rsid w:val="F6B69F17"/>
    <w:rsid w:val="F6E5BB3A"/>
    <w:rsid w:val="F77F1D61"/>
    <w:rsid w:val="F7FED3A9"/>
    <w:rsid w:val="F8C9DB26"/>
    <w:rsid w:val="F97E8EAE"/>
    <w:rsid w:val="FB36E1A6"/>
    <w:rsid w:val="FB3BE134"/>
    <w:rsid w:val="FCFF4275"/>
    <w:rsid w:val="FD7FEEEA"/>
    <w:rsid w:val="FDFFB577"/>
    <w:rsid w:val="FEEA50FE"/>
    <w:rsid w:val="FF7D47A9"/>
    <w:rsid w:val="FFCF21CB"/>
    <w:rsid w:val="FFF94102"/>
    <w:rsid w:val="FFFF1C8B"/>
    <w:rsid w:val="FFFF7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3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Body Text First Indent 2"/>
    <w:basedOn w:val="4"/>
    <w:next w:val="1"/>
    <w:unhideWhenUsed/>
    <w:qFormat/>
    <w:uiPriority w:val="99"/>
    <w:pPr>
      <w:ind w:firstLine="420" w:firstLineChars="200"/>
    </w:pPr>
  </w:style>
  <w:style w:type="paragraph" w:styleId="4">
    <w:name w:val="Body Text Indent"/>
    <w:basedOn w:val="1"/>
    <w:next w:val="3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5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basedOn w:val="9"/>
    <w:link w:val="7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6"/>
    <w:qFormat/>
    <w:uiPriority w:val="99"/>
    <w:rPr>
      <w:sz w:val="18"/>
      <w:szCs w:val="18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5"/>
    <w:semiHidden/>
    <w:qFormat/>
    <w:uiPriority w:val="99"/>
    <w:rPr>
      <w:sz w:val="18"/>
      <w:szCs w:val="18"/>
    </w:rPr>
  </w:style>
  <w:style w:type="character" w:customStyle="1" w:styleId="15">
    <w:name w:val="font0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2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19</Pages>
  <Words>7455</Words>
  <Characters>8067</Characters>
  <Lines>63</Lines>
  <Paragraphs>18</Paragraphs>
  <TotalTime>16</TotalTime>
  <ScaleCrop>false</ScaleCrop>
  <LinksUpToDate>false</LinksUpToDate>
  <CharactersWithSpaces>8097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2020-07-10T18:32:00Z</dcterms:created>
  <dc:creator>李航 null</dc:creator>
  <cp:lastModifiedBy>刘洋</cp:lastModifiedBy>
  <cp:lastPrinted>2024-08-11T02:20:00Z</cp:lastPrinted>
  <dcterms:modified xsi:type="dcterms:W3CDTF">2025-09-28T03:09:50Z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A0A527C854424A009D2943BD7F8A7E6E_13</vt:lpwstr>
  </property>
</Properties>
</file>