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7C35A6">
      <w:pPr>
        <w:pStyle w:val="12"/>
        <w:jc w:val="center"/>
        <w:rPr>
          <w:sz w:val="56"/>
          <w:szCs w:val="56"/>
        </w:rPr>
      </w:pPr>
    </w:p>
    <w:p w14:paraId="7D6FD2F5">
      <w:pPr>
        <w:pStyle w:val="12"/>
        <w:jc w:val="center"/>
        <w:rPr>
          <w:sz w:val="56"/>
          <w:szCs w:val="56"/>
        </w:rPr>
      </w:pPr>
    </w:p>
    <w:p w14:paraId="3CBED57D">
      <w:pPr>
        <w:pStyle w:val="12"/>
        <w:jc w:val="center"/>
        <w:rPr>
          <w:sz w:val="84"/>
          <w:szCs w:val="84"/>
        </w:rPr>
      </w:pPr>
    </w:p>
    <w:p w14:paraId="5E1DF1EF">
      <w:pPr>
        <w:pStyle w:val="12"/>
        <w:jc w:val="center"/>
        <w:rPr>
          <w:sz w:val="84"/>
          <w:szCs w:val="84"/>
        </w:rPr>
      </w:pPr>
    </w:p>
    <w:p w14:paraId="787CC218">
      <w:pPr>
        <w:pStyle w:val="12"/>
        <w:jc w:val="center"/>
        <w:rPr>
          <w:rFonts w:hint="eastAsia" w:ascii="方正小标宋_GBK" w:hAnsi="方正小标宋_GBK" w:eastAsia="方正小标宋_GBK" w:cs="方正小标宋_GBK"/>
          <w:sz w:val="84"/>
          <w:szCs w:val="84"/>
        </w:rPr>
      </w:pPr>
      <w:r>
        <w:rPr>
          <w:rFonts w:hint="eastAsia" w:ascii="方正小标宋_GBK" w:hAnsi="方正小标宋_GBK" w:eastAsia="方正小标宋_GBK" w:cs="方正小标宋_GBK"/>
          <w:sz w:val="84"/>
          <w:szCs w:val="84"/>
        </w:rPr>
        <w:t>202</w:t>
      </w:r>
      <w:r>
        <w:rPr>
          <w:rFonts w:hint="eastAsia" w:ascii="方正小标宋_GBK" w:hAnsi="方正小标宋_GBK" w:eastAsia="方正小标宋_GBK" w:cs="方正小标宋_GBK"/>
          <w:sz w:val="84"/>
          <w:szCs w:val="84"/>
          <w:lang w:val="en-US" w:eastAsia="zh-CN"/>
        </w:rPr>
        <w:t>4</w:t>
      </w:r>
      <w:r>
        <w:rPr>
          <w:rFonts w:hint="eastAsia" w:ascii="方正小标宋_GBK" w:hAnsi="方正小标宋_GBK" w:eastAsia="方正小标宋_GBK" w:cs="方正小标宋_GBK"/>
          <w:sz w:val="84"/>
          <w:szCs w:val="84"/>
        </w:rPr>
        <w:t>年度</w:t>
      </w:r>
    </w:p>
    <w:p w14:paraId="7D7F7EC3">
      <w:pPr>
        <w:pStyle w:val="12"/>
        <w:jc w:val="center"/>
        <w:rPr>
          <w:rFonts w:hint="eastAsia" w:ascii="方正小标宋_GBK" w:hAnsi="方正小标宋_GBK" w:eastAsia="方正小标宋_GBK" w:cs="方正小标宋_GBK"/>
          <w:sz w:val="84"/>
          <w:szCs w:val="84"/>
          <w:lang w:eastAsia="zh-CN"/>
        </w:rPr>
      </w:pPr>
      <w:r>
        <w:rPr>
          <w:rFonts w:hint="eastAsia" w:ascii="方正小标宋_GBK" w:hAnsi="方正小标宋_GBK" w:eastAsia="方正小标宋_GBK" w:cs="方正小标宋_GBK"/>
          <w:sz w:val="84"/>
          <w:szCs w:val="84"/>
          <w:lang w:eastAsia="zh-CN"/>
        </w:rPr>
        <w:t>岳阳市妇幼保健院</w:t>
      </w:r>
    </w:p>
    <w:p w14:paraId="66F46DA2">
      <w:pPr>
        <w:pStyle w:val="12"/>
        <w:jc w:val="center"/>
        <w:rPr>
          <w:rFonts w:hint="eastAsia" w:ascii="方正小标宋_GBK" w:hAnsi="方正小标宋_GBK" w:eastAsia="方正小标宋_GBK" w:cs="方正小标宋_GBK"/>
          <w:sz w:val="84"/>
          <w:szCs w:val="84"/>
        </w:rPr>
      </w:pPr>
      <w:r>
        <w:rPr>
          <w:rFonts w:hint="eastAsia" w:ascii="方正小标宋_GBK" w:hAnsi="方正小标宋_GBK" w:eastAsia="方正小标宋_GBK" w:cs="方正小标宋_GBK"/>
          <w:sz w:val="84"/>
          <w:szCs w:val="84"/>
        </w:rPr>
        <w:t>单位决算</w:t>
      </w:r>
    </w:p>
    <w:p w14:paraId="15373929">
      <w:pPr>
        <w:pStyle w:val="12"/>
        <w:jc w:val="center"/>
        <w:rPr>
          <w:rFonts w:hint="eastAsia" w:ascii="方正小标宋_GBK" w:hAnsi="方正小标宋_GBK" w:eastAsia="方正小标宋_GBK" w:cs="方正小标宋_GBK"/>
          <w:sz w:val="56"/>
          <w:szCs w:val="56"/>
        </w:rPr>
      </w:pPr>
    </w:p>
    <w:p w14:paraId="5407992A">
      <w:pPr>
        <w:pStyle w:val="12"/>
        <w:jc w:val="center"/>
        <w:rPr>
          <w:sz w:val="56"/>
          <w:szCs w:val="56"/>
        </w:rPr>
      </w:pPr>
    </w:p>
    <w:p w14:paraId="02BE7359">
      <w:pPr>
        <w:pStyle w:val="12"/>
        <w:jc w:val="center"/>
        <w:rPr>
          <w:sz w:val="56"/>
          <w:szCs w:val="56"/>
        </w:rPr>
      </w:pPr>
    </w:p>
    <w:p w14:paraId="6700714E">
      <w:pPr>
        <w:pStyle w:val="12"/>
        <w:jc w:val="center"/>
        <w:rPr>
          <w:sz w:val="56"/>
          <w:szCs w:val="56"/>
        </w:rPr>
      </w:pPr>
    </w:p>
    <w:p w14:paraId="77973EF0">
      <w:pPr>
        <w:pStyle w:val="12"/>
        <w:jc w:val="center"/>
        <w:rPr>
          <w:sz w:val="32"/>
          <w:szCs w:val="32"/>
        </w:rPr>
      </w:pPr>
    </w:p>
    <w:p w14:paraId="1F3C1064">
      <w:pPr>
        <w:pStyle w:val="12"/>
        <w:jc w:val="center"/>
        <w:rPr>
          <w:sz w:val="32"/>
          <w:szCs w:val="32"/>
        </w:rPr>
      </w:pPr>
    </w:p>
    <w:p w14:paraId="65026A54">
      <w:pPr>
        <w:pStyle w:val="12"/>
        <w:jc w:val="center"/>
        <w:rPr>
          <w:sz w:val="32"/>
          <w:szCs w:val="32"/>
        </w:rPr>
      </w:pPr>
    </w:p>
    <w:p w14:paraId="71549CC8">
      <w:pPr>
        <w:pStyle w:val="12"/>
        <w:jc w:val="center"/>
        <w:rPr>
          <w:sz w:val="32"/>
          <w:szCs w:val="32"/>
        </w:rPr>
      </w:pPr>
    </w:p>
    <w:p w14:paraId="43FB9F12">
      <w:pPr>
        <w:pStyle w:val="12"/>
        <w:jc w:val="center"/>
        <w:rPr>
          <w:sz w:val="32"/>
          <w:szCs w:val="32"/>
        </w:rPr>
      </w:pPr>
    </w:p>
    <w:p w14:paraId="33820D55">
      <w:pPr>
        <w:pStyle w:val="12"/>
        <w:spacing w:line="540" w:lineRule="exact"/>
        <w:jc w:val="center"/>
        <w:rPr>
          <w:sz w:val="56"/>
          <w:szCs w:val="56"/>
        </w:rPr>
      </w:pPr>
    </w:p>
    <w:p w14:paraId="3FCDE183">
      <w:pPr>
        <w:pStyle w:val="12"/>
        <w:spacing w:line="500" w:lineRule="exact"/>
        <w:jc w:val="both"/>
        <w:rPr>
          <w:b/>
          <w:sz w:val="36"/>
          <w:szCs w:val="28"/>
        </w:rPr>
      </w:pPr>
    </w:p>
    <w:p w14:paraId="7B42DD30">
      <w:pPr>
        <w:pStyle w:val="12"/>
        <w:spacing w:line="500" w:lineRule="exact"/>
        <w:jc w:val="center"/>
        <w:rPr>
          <w:b/>
          <w:sz w:val="36"/>
          <w:szCs w:val="28"/>
        </w:rPr>
      </w:pPr>
      <w:r>
        <w:rPr>
          <w:rFonts w:hint="eastAsia"/>
          <w:b/>
          <w:sz w:val="36"/>
          <w:szCs w:val="28"/>
        </w:rPr>
        <w:t>目录</w:t>
      </w:r>
    </w:p>
    <w:p w14:paraId="38E154BE">
      <w:pPr>
        <w:pStyle w:val="12"/>
        <w:spacing w:line="500" w:lineRule="exact"/>
        <w:rPr>
          <w:rFonts w:hint="eastAsia" w:ascii="黑体" w:hAnsi="黑体" w:eastAsia="黑体" w:cs="黑体"/>
          <w:b w:val="0"/>
          <w:bCs/>
          <w:sz w:val="28"/>
          <w:szCs w:val="28"/>
        </w:rPr>
      </w:pPr>
      <w:r>
        <w:rPr>
          <w:rFonts w:hint="eastAsia" w:ascii="黑体" w:hAnsi="黑体" w:eastAsia="黑体" w:cs="黑体"/>
          <w:b w:val="0"/>
          <w:bCs/>
          <w:sz w:val="28"/>
          <w:szCs w:val="28"/>
        </w:rPr>
        <w:t>第一部分</w:t>
      </w:r>
      <w:r>
        <w:rPr>
          <w:rFonts w:hint="eastAsia" w:ascii="黑体" w:hAnsi="黑体" w:eastAsia="黑体" w:cs="黑体"/>
          <w:b w:val="0"/>
          <w:bCs/>
          <w:sz w:val="28"/>
          <w:szCs w:val="28"/>
          <w:lang w:val="en-US" w:eastAsia="zh-CN"/>
        </w:rPr>
        <w:t xml:space="preserve"> </w:t>
      </w:r>
      <w:r>
        <w:rPr>
          <w:rFonts w:hint="eastAsia" w:hAnsi="黑体" w:cs="黑体"/>
          <w:b w:val="0"/>
          <w:bCs/>
          <w:sz w:val="28"/>
          <w:szCs w:val="28"/>
          <w:lang w:eastAsia="zh-CN"/>
        </w:rPr>
        <w:t>岳阳市妇幼保健院</w:t>
      </w:r>
      <w:r>
        <w:rPr>
          <w:rFonts w:hint="eastAsia" w:ascii="黑体" w:hAnsi="黑体" w:eastAsia="黑体" w:cs="黑体"/>
          <w:b w:val="0"/>
          <w:bCs/>
          <w:sz w:val="28"/>
          <w:szCs w:val="28"/>
        </w:rPr>
        <w:t>单位概况</w:t>
      </w:r>
    </w:p>
    <w:p w14:paraId="47D497E1">
      <w:pPr>
        <w:pStyle w:val="12"/>
        <w:spacing w:line="500" w:lineRule="exact"/>
        <w:ind w:firstLine="700" w:firstLineChars="25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一、部门职责</w:t>
      </w:r>
    </w:p>
    <w:p w14:paraId="3128F284">
      <w:pPr>
        <w:pStyle w:val="12"/>
        <w:spacing w:line="500" w:lineRule="exact"/>
        <w:ind w:firstLine="700" w:firstLineChars="25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二、机构设置</w:t>
      </w:r>
    </w:p>
    <w:p w14:paraId="3A0F0FFA">
      <w:pPr>
        <w:pStyle w:val="12"/>
        <w:spacing w:line="500" w:lineRule="exact"/>
        <w:rPr>
          <w:rFonts w:hint="eastAsia" w:ascii="黑体" w:hAnsi="黑体" w:eastAsia="黑体" w:cs="黑体"/>
          <w:b w:val="0"/>
          <w:bCs/>
          <w:sz w:val="28"/>
          <w:szCs w:val="28"/>
        </w:rPr>
      </w:pPr>
      <w:r>
        <w:rPr>
          <w:rFonts w:hint="eastAsia" w:ascii="黑体" w:hAnsi="黑体" w:eastAsia="黑体" w:cs="黑体"/>
          <w:b w:val="0"/>
          <w:bCs/>
          <w:sz w:val="28"/>
          <w:szCs w:val="28"/>
        </w:rPr>
        <w:t>第二部分</w:t>
      </w:r>
      <w:r>
        <w:rPr>
          <w:rFonts w:hint="eastAsia" w:ascii="黑体" w:hAnsi="黑体" w:eastAsia="黑体" w:cs="黑体"/>
          <w:b w:val="0"/>
          <w:bCs/>
          <w:sz w:val="28"/>
          <w:szCs w:val="28"/>
          <w:lang w:val="en-US" w:eastAsia="zh-CN"/>
        </w:rPr>
        <w:t xml:space="preserve"> </w:t>
      </w:r>
      <w:r>
        <w:rPr>
          <w:rFonts w:hint="eastAsia" w:ascii="黑体" w:hAnsi="黑体" w:eastAsia="黑体" w:cs="黑体"/>
          <w:b w:val="0"/>
          <w:bCs/>
          <w:sz w:val="28"/>
          <w:szCs w:val="28"/>
        </w:rPr>
        <w:t>部门决算表</w:t>
      </w:r>
    </w:p>
    <w:p w14:paraId="42C9D043">
      <w:pPr>
        <w:pStyle w:val="12"/>
        <w:spacing w:line="500" w:lineRule="exact"/>
        <w:ind w:firstLine="700" w:firstLineChars="25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一、收入支出决算总表</w:t>
      </w:r>
    </w:p>
    <w:p w14:paraId="215FE7AE">
      <w:pPr>
        <w:pStyle w:val="12"/>
        <w:spacing w:line="500" w:lineRule="exact"/>
        <w:ind w:firstLine="700" w:firstLineChars="25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二、收入决算表</w:t>
      </w:r>
    </w:p>
    <w:p w14:paraId="079D6857">
      <w:pPr>
        <w:pStyle w:val="12"/>
        <w:spacing w:line="500" w:lineRule="exact"/>
        <w:ind w:firstLine="700" w:firstLineChars="25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三、支出决算表</w:t>
      </w:r>
    </w:p>
    <w:p w14:paraId="3F87C753">
      <w:pPr>
        <w:pStyle w:val="12"/>
        <w:spacing w:line="500" w:lineRule="exact"/>
        <w:ind w:firstLine="700" w:firstLineChars="25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四、财政拨款收入支出决算总表</w:t>
      </w:r>
    </w:p>
    <w:p w14:paraId="10A024C3">
      <w:pPr>
        <w:pStyle w:val="12"/>
        <w:spacing w:line="500" w:lineRule="exact"/>
        <w:ind w:firstLine="700" w:firstLineChars="25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五、一般公共预算财政拨款支出决算表</w:t>
      </w:r>
    </w:p>
    <w:p w14:paraId="39DC8156">
      <w:pPr>
        <w:pStyle w:val="12"/>
        <w:spacing w:line="500" w:lineRule="exact"/>
        <w:ind w:firstLine="700" w:firstLineChars="25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六、一般公共预算财政拨款基本支出决算明细表</w:t>
      </w:r>
    </w:p>
    <w:p w14:paraId="08338B7E">
      <w:pPr>
        <w:pStyle w:val="12"/>
        <w:spacing w:line="500" w:lineRule="exact"/>
        <w:ind w:firstLine="700" w:firstLineChars="25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七、政府性基金预算财政拨款收入支出决算表</w:t>
      </w:r>
    </w:p>
    <w:p w14:paraId="79608A4F">
      <w:pPr>
        <w:pStyle w:val="12"/>
        <w:spacing w:line="500" w:lineRule="exact"/>
        <w:ind w:firstLine="700" w:firstLineChars="25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八、国有资本经营预算财政拨款支出决算表</w:t>
      </w:r>
    </w:p>
    <w:p w14:paraId="00E3B221">
      <w:pPr>
        <w:pStyle w:val="12"/>
        <w:spacing w:line="500" w:lineRule="exact"/>
        <w:ind w:firstLine="700" w:firstLineChars="25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九、财政拨款“三公”经费支出决算表</w:t>
      </w:r>
    </w:p>
    <w:p w14:paraId="22661663">
      <w:pPr>
        <w:pStyle w:val="12"/>
        <w:spacing w:line="500" w:lineRule="exact"/>
        <w:rPr>
          <w:rFonts w:hint="eastAsia" w:ascii="黑体" w:hAnsi="黑体" w:eastAsia="黑体" w:cs="黑体"/>
          <w:b w:val="0"/>
          <w:bCs/>
          <w:sz w:val="28"/>
          <w:szCs w:val="28"/>
        </w:rPr>
      </w:pPr>
      <w:r>
        <w:rPr>
          <w:rFonts w:hint="eastAsia" w:ascii="黑体" w:hAnsi="黑体" w:eastAsia="黑体" w:cs="黑体"/>
          <w:b w:val="0"/>
          <w:bCs/>
          <w:sz w:val="28"/>
          <w:szCs w:val="28"/>
        </w:rPr>
        <w:t>第三部分</w:t>
      </w:r>
      <w:r>
        <w:rPr>
          <w:rFonts w:hint="eastAsia" w:ascii="黑体" w:hAnsi="黑体" w:eastAsia="黑体" w:cs="黑体"/>
          <w:b w:val="0"/>
          <w:bCs/>
          <w:sz w:val="28"/>
          <w:szCs w:val="28"/>
          <w:lang w:val="en-US" w:eastAsia="zh-CN"/>
        </w:rPr>
        <w:t xml:space="preserve"> </w:t>
      </w:r>
      <w:r>
        <w:rPr>
          <w:rFonts w:hint="eastAsia" w:ascii="黑体" w:hAnsi="黑体" w:eastAsia="黑体" w:cs="黑体"/>
          <w:b w:val="0"/>
          <w:bCs/>
          <w:sz w:val="28"/>
          <w:szCs w:val="28"/>
        </w:rPr>
        <w:t>部门决算情况说明</w:t>
      </w:r>
    </w:p>
    <w:p w14:paraId="27D98B35">
      <w:pPr>
        <w:pStyle w:val="12"/>
        <w:spacing w:line="500" w:lineRule="exact"/>
        <w:ind w:firstLine="700" w:firstLineChars="25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一、收入支出决算总体情况说明</w:t>
      </w:r>
    </w:p>
    <w:p w14:paraId="24B51DDA">
      <w:pPr>
        <w:spacing w:line="500" w:lineRule="exact"/>
        <w:ind w:firstLine="700" w:firstLineChars="250"/>
        <w:jc w:val="left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二、收入决算情况说明</w:t>
      </w:r>
    </w:p>
    <w:p w14:paraId="1805DC63">
      <w:pPr>
        <w:autoSpaceDE w:val="0"/>
        <w:autoSpaceDN w:val="0"/>
        <w:adjustRightInd w:val="0"/>
        <w:spacing w:line="500" w:lineRule="exact"/>
        <w:ind w:firstLine="700" w:firstLineChars="250"/>
        <w:jc w:val="left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三、支出决算情况说明</w:t>
      </w:r>
    </w:p>
    <w:p w14:paraId="57D42C2F">
      <w:pPr>
        <w:autoSpaceDE w:val="0"/>
        <w:autoSpaceDN w:val="0"/>
        <w:adjustRightInd w:val="0"/>
        <w:spacing w:line="500" w:lineRule="exact"/>
        <w:ind w:firstLine="700" w:firstLineChars="250"/>
        <w:jc w:val="left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四、财政拨款收入支出决算总体情况说明</w:t>
      </w:r>
    </w:p>
    <w:p w14:paraId="107791E0">
      <w:pPr>
        <w:autoSpaceDE w:val="0"/>
        <w:autoSpaceDN w:val="0"/>
        <w:adjustRightInd w:val="0"/>
        <w:spacing w:line="500" w:lineRule="exact"/>
        <w:ind w:firstLine="700" w:firstLineChars="250"/>
        <w:jc w:val="left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五、一般公共预算财政拨款支出决算情况说明</w:t>
      </w:r>
    </w:p>
    <w:p w14:paraId="474BD70D">
      <w:pPr>
        <w:autoSpaceDE w:val="0"/>
        <w:autoSpaceDN w:val="0"/>
        <w:adjustRightInd w:val="0"/>
        <w:spacing w:line="500" w:lineRule="exact"/>
        <w:ind w:firstLine="700" w:firstLineChars="250"/>
        <w:jc w:val="left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六、一般公共预算财政拨款基本支出决算情况说明</w:t>
      </w:r>
    </w:p>
    <w:p w14:paraId="231E5E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firstLine="700" w:firstLineChars="25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七、政府性基金预算收入支出决算情况</w:t>
      </w:r>
    </w:p>
    <w:p w14:paraId="4570AD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firstLine="700" w:firstLineChars="25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八、</w:t>
      </w:r>
      <w:r>
        <w:rPr>
          <w:rFonts w:hint="eastAsia" w:ascii="仿宋_GB2312" w:hAnsi="仿宋_GB2312" w:eastAsia="仿宋_GB2312" w:cs="仿宋_GB2312"/>
          <w:sz w:val="28"/>
          <w:szCs w:val="28"/>
        </w:rPr>
        <w:t>国有资本经营预算财政拨款支出决算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情况</w:t>
      </w:r>
    </w:p>
    <w:p w14:paraId="7BC041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firstLine="700" w:firstLineChars="25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九、财政拨款三公经费支出决算情况说明</w:t>
      </w:r>
    </w:p>
    <w:p w14:paraId="7E9EF4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firstLine="700" w:firstLineChars="25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十、关于机关运行经费支出说明</w:t>
      </w:r>
    </w:p>
    <w:p w14:paraId="0205E9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firstLine="700" w:firstLineChars="25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十一、一般性支出情况说明</w:t>
      </w:r>
    </w:p>
    <w:p w14:paraId="147B63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firstLine="700" w:firstLineChars="25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十二、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关于政府采购支出说明</w:t>
      </w:r>
    </w:p>
    <w:p w14:paraId="4EF291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firstLine="700" w:firstLineChars="250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-SA"/>
        </w:rPr>
        <w:t>十三、关于国有资产占用情况说明</w:t>
      </w:r>
    </w:p>
    <w:p w14:paraId="633907E8">
      <w:pPr>
        <w:pStyle w:val="12"/>
        <w:spacing w:line="500" w:lineRule="exact"/>
        <w:ind w:firstLine="700" w:firstLineChars="25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-SA"/>
        </w:rPr>
        <w:t>十四、</w:t>
      </w:r>
      <w:r>
        <w:rPr>
          <w:rFonts w:hint="eastAsia" w:ascii="仿宋_GB2312" w:hAnsi="仿宋_GB2312" w:eastAsia="仿宋_GB2312" w:cs="仿宋_GB2312"/>
          <w:sz w:val="28"/>
          <w:szCs w:val="28"/>
        </w:rPr>
        <w:t>关于</w:t>
      </w:r>
      <w:r>
        <w:rPr>
          <w:rFonts w:hint="default" w:ascii="Times New Roman" w:hAnsi="Times New Roman" w:eastAsia="仿宋_GB2312" w:cs="Times New Roman"/>
          <w:sz w:val="28"/>
          <w:szCs w:val="28"/>
        </w:rPr>
        <w:t>202</w:t>
      </w: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28"/>
          <w:szCs w:val="28"/>
        </w:rPr>
        <w:t>年度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预算</w:t>
      </w:r>
      <w:r>
        <w:rPr>
          <w:rFonts w:hint="eastAsia" w:ascii="仿宋_GB2312" w:hAnsi="仿宋_GB2312" w:eastAsia="仿宋_GB2312" w:cs="仿宋_GB2312"/>
          <w:sz w:val="28"/>
          <w:szCs w:val="28"/>
        </w:rPr>
        <w:t>绩效情况的说明</w:t>
      </w:r>
    </w:p>
    <w:p w14:paraId="6AC0F401">
      <w:pPr>
        <w:pStyle w:val="12"/>
        <w:spacing w:line="500" w:lineRule="exact"/>
        <w:rPr>
          <w:rFonts w:hint="eastAsia" w:ascii="黑体" w:hAnsi="黑体" w:eastAsia="黑体" w:cs="黑体"/>
          <w:b w:val="0"/>
          <w:bCs/>
          <w:sz w:val="28"/>
          <w:szCs w:val="28"/>
        </w:rPr>
      </w:pPr>
      <w:r>
        <w:rPr>
          <w:rFonts w:hint="eastAsia" w:ascii="黑体" w:hAnsi="黑体" w:eastAsia="黑体" w:cs="黑体"/>
          <w:b w:val="0"/>
          <w:bCs/>
          <w:sz w:val="28"/>
          <w:szCs w:val="28"/>
        </w:rPr>
        <w:t>第四部分</w:t>
      </w:r>
      <w:r>
        <w:rPr>
          <w:rFonts w:hint="eastAsia" w:ascii="黑体" w:hAnsi="黑体" w:eastAsia="黑体" w:cs="黑体"/>
          <w:b w:val="0"/>
          <w:bCs/>
          <w:sz w:val="28"/>
          <w:szCs w:val="28"/>
          <w:lang w:val="en-US" w:eastAsia="zh-CN"/>
        </w:rPr>
        <w:t xml:space="preserve"> </w:t>
      </w:r>
      <w:r>
        <w:rPr>
          <w:rFonts w:hint="eastAsia" w:ascii="黑体" w:hAnsi="黑体" w:eastAsia="黑体" w:cs="黑体"/>
          <w:b w:val="0"/>
          <w:bCs/>
          <w:sz w:val="28"/>
          <w:szCs w:val="28"/>
        </w:rPr>
        <w:t>名词解释</w:t>
      </w:r>
    </w:p>
    <w:p w14:paraId="1CB9426D">
      <w:pPr>
        <w:pStyle w:val="12"/>
        <w:spacing w:line="500" w:lineRule="exact"/>
        <w:rPr>
          <w:rFonts w:hint="eastAsia" w:ascii="黑体" w:hAnsi="黑体" w:eastAsia="黑体" w:cs="黑体"/>
          <w:b w:val="0"/>
          <w:bCs/>
          <w:sz w:val="28"/>
          <w:szCs w:val="28"/>
          <w:lang w:eastAsia="zh-CN"/>
        </w:rPr>
      </w:pPr>
      <w:r>
        <w:rPr>
          <w:rFonts w:hint="eastAsia" w:ascii="黑体" w:hAnsi="黑体" w:eastAsia="黑体" w:cs="黑体"/>
          <w:b w:val="0"/>
          <w:bCs/>
          <w:sz w:val="28"/>
          <w:szCs w:val="28"/>
        </w:rPr>
        <w:t>第</w:t>
      </w:r>
      <w:r>
        <w:rPr>
          <w:rFonts w:hint="eastAsia" w:hAnsi="黑体" w:cs="黑体"/>
          <w:b w:val="0"/>
          <w:bCs/>
          <w:sz w:val="28"/>
          <w:szCs w:val="28"/>
          <w:lang w:eastAsia="zh-CN"/>
        </w:rPr>
        <w:t>五</w:t>
      </w:r>
      <w:r>
        <w:rPr>
          <w:rFonts w:hint="eastAsia" w:ascii="黑体" w:hAnsi="黑体" w:eastAsia="黑体" w:cs="黑体"/>
          <w:b w:val="0"/>
          <w:bCs/>
          <w:sz w:val="28"/>
          <w:szCs w:val="28"/>
        </w:rPr>
        <w:t>部分</w:t>
      </w:r>
      <w:r>
        <w:rPr>
          <w:rFonts w:hint="eastAsia" w:ascii="黑体" w:hAnsi="黑体" w:eastAsia="黑体" w:cs="黑体"/>
          <w:b w:val="0"/>
          <w:bCs/>
          <w:sz w:val="28"/>
          <w:szCs w:val="28"/>
          <w:lang w:val="en-US" w:eastAsia="zh-CN"/>
        </w:rPr>
        <w:t xml:space="preserve"> </w:t>
      </w:r>
      <w:r>
        <w:rPr>
          <w:rFonts w:hint="eastAsia" w:hAnsi="黑体" w:cs="黑体"/>
          <w:b w:val="0"/>
          <w:bCs/>
          <w:sz w:val="28"/>
          <w:szCs w:val="28"/>
          <w:lang w:eastAsia="zh-CN"/>
        </w:rPr>
        <w:t>附件</w:t>
      </w:r>
    </w:p>
    <w:p w14:paraId="644DF6B6">
      <w:pPr>
        <w:pStyle w:val="12"/>
        <w:jc w:val="center"/>
        <w:rPr>
          <w:rFonts w:hint="eastAsia" w:ascii="方正小标宋_GBK" w:hAnsi="方正小标宋_GBK" w:eastAsia="方正小标宋_GBK" w:cs="方正小标宋_GBK"/>
          <w:sz w:val="84"/>
          <w:szCs w:val="84"/>
        </w:rPr>
      </w:pPr>
    </w:p>
    <w:p w14:paraId="2B0EBBED">
      <w:pPr>
        <w:pStyle w:val="12"/>
        <w:jc w:val="center"/>
        <w:rPr>
          <w:rFonts w:hint="eastAsia" w:ascii="方正小标宋_GBK" w:hAnsi="方正小标宋_GBK" w:eastAsia="方正小标宋_GBK" w:cs="方正小标宋_GBK"/>
          <w:sz w:val="84"/>
          <w:szCs w:val="84"/>
        </w:rPr>
      </w:pPr>
    </w:p>
    <w:p w14:paraId="5C470321">
      <w:pPr>
        <w:rPr>
          <w:rFonts w:hint="eastAsia" w:ascii="方正小标宋_GBK" w:hAnsi="方正小标宋_GBK" w:eastAsia="方正小标宋_GBK" w:cs="方正小标宋_GBK"/>
          <w:sz w:val="84"/>
          <w:szCs w:val="84"/>
        </w:rPr>
      </w:pPr>
      <w:r>
        <w:rPr>
          <w:rFonts w:hint="eastAsia" w:ascii="方正小标宋_GBK" w:hAnsi="方正小标宋_GBK" w:eastAsia="方正小标宋_GBK" w:cs="方正小标宋_GBK"/>
          <w:sz w:val="84"/>
          <w:szCs w:val="84"/>
        </w:rPr>
        <w:br w:type="page"/>
      </w:r>
    </w:p>
    <w:p w14:paraId="7CE60CEF">
      <w:pPr>
        <w:pStyle w:val="12"/>
        <w:jc w:val="center"/>
        <w:rPr>
          <w:rFonts w:hint="eastAsia" w:ascii="方正小标宋_GBK" w:hAnsi="方正小标宋_GBK" w:eastAsia="方正小标宋_GBK" w:cs="方正小标宋_GBK"/>
          <w:sz w:val="84"/>
          <w:szCs w:val="84"/>
        </w:rPr>
      </w:pPr>
    </w:p>
    <w:p w14:paraId="34C27875">
      <w:pPr>
        <w:pStyle w:val="12"/>
        <w:jc w:val="center"/>
        <w:rPr>
          <w:rFonts w:hint="eastAsia" w:ascii="方正小标宋_GBK" w:hAnsi="方正小标宋_GBK" w:eastAsia="方正小标宋_GBK" w:cs="方正小标宋_GBK"/>
          <w:sz w:val="84"/>
          <w:szCs w:val="84"/>
        </w:rPr>
      </w:pPr>
    </w:p>
    <w:p w14:paraId="22BC5B9E">
      <w:pPr>
        <w:pStyle w:val="12"/>
        <w:jc w:val="center"/>
        <w:rPr>
          <w:rFonts w:hint="eastAsia" w:ascii="方正小标宋_GBK" w:hAnsi="方正小标宋_GBK" w:eastAsia="方正小标宋_GBK" w:cs="方正小标宋_GBK"/>
          <w:sz w:val="84"/>
          <w:szCs w:val="84"/>
        </w:rPr>
      </w:pPr>
    </w:p>
    <w:p w14:paraId="3DDBB70F">
      <w:pPr>
        <w:pStyle w:val="12"/>
        <w:jc w:val="center"/>
        <w:rPr>
          <w:rFonts w:hint="eastAsia" w:ascii="方正小标宋_GBK" w:hAnsi="方正小标宋_GBK" w:eastAsia="方正小标宋_GBK" w:cs="方正小标宋_GBK"/>
          <w:sz w:val="84"/>
          <w:szCs w:val="84"/>
        </w:rPr>
      </w:pPr>
    </w:p>
    <w:p w14:paraId="7AC67C53">
      <w:pPr>
        <w:pStyle w:val="12"/>
        <w:jc w:val="center"/>
        <w:rPr>
          <w:rFonts w:hint="eastAsia" w:ascii="方正小标宋_GBK" w:hAnsi="方正小标宋_GBK" w:eastAsia="方正小标宋_GBK" w:cs="方正小标宋_GBK"/>
          <w:sz w:val="84"/>
          <w:szCs w:val="84"/>
        </w:rPr>
      </w:pPr>
      <w:r>
        <w:rPr>
          <w:rFonts w:hint="eastAsia" w:ascii="方正小标宋_GBK" w:hAnsi="方正小标宋_GBK" w:eastAsia="方正小标宋_GBK" w:cs="方正小标宋_GBK"/>
          <w:sz w:val="84"/>
          <w:szCs w:val="84"/>
        </w:rPr>
        <w:t xml:space="preserve">第一部分 </w:t>
      </w:r>
    </w:p>
    <w:p w14:paraId="4621BB91">
      <w:pPr>
        <w:pStyle w:val="12"/>
        <w:jc w:val="center"/>
        <w:rPr>
          <w:rFonts w:hint="eastAsia" w:ascii="方正小标宋_GBK" w:hAnsi="方正小标宋_GBK" w:eastAsia="方正小标宋_GBK" w:cs="方正小标宋_GBK"/>
          <w:sz w:val="84"/>
          <w:szCs w:val="84"/>
        </w:rPr>
      </w:pPr>
    </w:p>
    <w:p w14:paraId="79A612B9">
      <w:pPr>
        <w:jc w:val="center"/>
        <w:rPr>
          <w:rFonts w:hint="eastAsia" w:ascii="方正小标宋_GBK" w:hAnsi="方正小标宋_GBK" w:eastAsia="方正小标宋_GBK" w:cs="方正小标宋_GBK"/>
          <w:sz w:val="84"/>
          <w:szCs w:val="84"/>
        </w:rPr>
      </w:pPr>
      <w:r>
        <w:rPr>
          <w:rFonts w:hint="eastAsia" w:ascii="方正小标宋_GBK" w:hAnsi="方正小标宋_GBK" w:eastAsia="方正小标宋_GBK" w:cs="方正小标宋_GBK"/>
          <w:sz w:val="84"/>
          <w:szCs w:val="84"/>
          <w:lang w:eastAsia="zh-CN"/>
        </w:rPr>
        <w:t>岳阳市妇幼保健院</w:t>
      </w:r>
      <w:r>
        <w:rPr>
          <w:rFonts w:hint="eastAsia" w:ascii="方正小标宋_GBK" w:hAnsi="方正小标宋_GBK" w:eastAsia="方正小标宋_GBK" w:cs="方正小标宋_GBK"/>
          <w:sz w:val="84"/>
          <w:szCs w:val="84"/>
        </w:rPr>
        <w:t>单位概况</w:t>
      </w:r>
    </w:p>
    <w:p w14:paraId="45DF0872">
      <w:pPr>
        <w:pStyle w:val="2"/>
        <w:rPr>
          <w:rFonts w:hint="eastAsia" w:ascii="方正小标宋_GBK" w:hAnsi="方正小标宋_GBK" w:eastAsia="方正小标宋_GBK" w:cs="方正小标宋_GBK"/>
          <w:sz w:val="84"/>
          <w:szCs w:val="84"/>
        </w:rPr>
      </w:pPr>
    </w:p>
    <w:p w14:paraId="617C8023">
      <w:pPr>
        <w:pStyle w:val="3"/>
        <w:rPr>
          <w:rFonts w:hint="eastAsia" w:ascii="方正小标宋_GBK" w:hAnsi="方正小标宋_GBK" w:eastAsia="方正小标宋_GBK" w:cs="方正小标宋_GBK"/>
          <w:sz w:val="84"/>
          <w:szCs w:val="84"/>
        </w:rPr>
      </w:pPr>
    </w:p>
    <w:p w14:paraId="77295D00">
      <w:pPr>
        <w:pStyle w:val="3"/>
        <w:ind w:left="0" w:leftChars="0" w:firstLine="0" w:firstLineChars="0"/>
        <w:rPr>
          <w:rFonts w:hint="eastAsia" w:ascii="方正小标宋_GBK" w:hAnsi="方正小标宋_GBK" w:eastAsia="方正小标宋_GBK" w:cs="方正小标宋_GBK"/>
          <w:sz w:val="84"/>
          <w:szCs w:val="84"/>
        </w:rPr>
      </w:pPr>
    </w:p>
    <w:p w14:paraId="20109623">
      <w:pPr>
        <w:pStyle w:val="13"/>
        <w:numPr>
          <w:ilvl w:val="0"/>
          <w:numId w:val="1"/>
        </w:numPr>
        <w:ind w:firstLineChars="0"/>
        <w:jc w:val="left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部门职责</w:t>
      </w:r>
    </w:p>
    <w:p w14:paraId="27A4516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638" w:leftChars="304" w:firstLine="0" w:firstLineChars="0"/>
        <w:jc w:val="left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（一）负责指导全市妇幼保健工作，指导乡镇卫生院产 科建设，开展社区卫生服务。</w:t>
      </w:r>
    </w:p>
    <w:p w14:paraId="16850A9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（二）负责全市妇幼卫生干部培训工作。</w:t>
      </w:r>
    </w:p>
    <w:p w14:paraId="2749235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（三）负责贯彻执行《母婴保健法》，开展母婴保健服务技术指导工作。</w:t>
      </w:r>
    </w:p>
    <w:p w14:paraId="75ED132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（四）负责全市孕产妇急救服务工作。</w:t>
      </w:r>
    </w:p>
    <w:p w14:paraId="523A9F5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（五）负责全市妇幼卫生信息统计分析。</w:t>
      </w:r>
    </w:p>
    <w:p w14:paraId="49FC584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（六）负责全市爱婴医院创建、医疗、科研、健康教育等工作。</w:t>
      </w:r>
    </w:p>
    <w:p w14:paraId="39F9552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（七）协助卫生行政部门制定全市妇幼卫生工作规划并组织实施，提高出生人口素质以及全民族身体素质。</w:t>
      </w:r>
    </w:p>
    <w:p w14:paraId="61B5A0DD">
      <w:pPr>
        <w:widowControl/>
        <w:spacing w:line="600" w:lineRule="exact"/>
        <w:rPr>
          <w:rFonts w:hint="eastAsia" w:ascii="黑体" w:hAnsi="黑体" w:eastAsia="黑体" w:cs="黑体"/>
          <w:b w:val="0"/>
          <w:bCs/>
          <w:kern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kern w:val="0"/>
          <w:sz w:val="32"/>
          <w:szCs w:val="32"/>
        </w:rPr>
        <w:t>二、机构设置及决算单位构成</w:t>
      </w:r>
    </w:p>
    <w:p w14:paraId="5F236D8E">
      <w:pPr>
        <w:widowControl/>
        <w:numPr>
          <w:ilvl w:val="0"/>
          <w:numId w:val="0"/>
        </w:numPr>
        <w:spacing w:line="600" w:lineRule="exact"/>
        <w:rPr>
          <w:rFonts w:hint="eastAsia" w:ascii="黑体" w:hAnsi="黑体" w:eastAsia="黑体" w:cs="黑体"/>
          <w:b w:val="0"/>
          <w:bCs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/>
          <w:color w:val="000000"/>
          <w:kern w:val="0"/>
          <w:sz w:val="32"/>
          <w:szCs w:val="32"/>
          <w:lang w:val="en-US" w:eastAsia="zh-CN" w:bidi="ar-SA"/>
        </w:rPr>
        <w:t>（一）内设机构设置。</w:t>
      </w:r>
    </w:p>
    <w:p w14:paraId="46098341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岳阳市妇幼保健院的临床保健科室包括产科、新生儿科、儿童保健科、儿科、妇科、妇女保健科、生殖医学中心、小儿外科、泌尿外科、乳甲外科、急诊科、麻醉科、检验科、医学遗传科、功能科、病理科、门诊部、手术室、体检中心等，职能科室包括财务部、党办、办公室、组织人事部、医务部、护理部、医学装备部、医疗保险部、科教科、后勤服务部、药学办、院感科等。</w:t>
      </w:r>
    </w:p>
    <w:p w14:paraId="29049B29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医院现有职工914人，其中卫生技术人员797人，副高以上职称172人（其中正高34人，副高138人），有博士研究生4人（其中博士后2人）、硕士研究生67人，岳阳市首席专家4人，享受湖南省政府特殊津贴专家1人，湖南省名老中医1人，岳阳市名医9人，享受岳阳市政府特殊津贴专家4人，教授8人，硕士研究生导师6人，博士研究生导师1人。</w:t>
      </w:r>
    </w:p>
    <w:p w14:paraId="66EA482C">
      <w:pPr>
        <w:widowControl/>
        <w:numPr>
          <w:ilvl w:val="0"/>
          <w:numId w:val="2"/>
        </w:numPr>
        <w:spacing w:line="600" w:lineRule="exact"/>
        <w:rPr>
          <w:rFonts w:hint="eastAsia" w:ascii="黑体" w:hAnsi="黑体" w:eastAsia="黑体" w:cs="黑体"/>
          <w:b w:val="0"/>
          <w:bCs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/>
          <w:color w:val="000000"/>
          <w:kern w:val="0"/>
          <w:sz w:val="32"/>
          <w:szCs w:val="32"/>
          <w:lang w:val="en-US" w:eastAsia="zh-CN" w:bidi="ar-SA"/>
        </w:rPr>
        <w:t>决算单位构成。</w:t>
      </w:r>
    </w:p>
    <w:p w14:paraId="18D229AD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本单位无独立核算的下属单位，2024年部门决算汇总公开单位仅包括岳阳市妇幼保健院本级。</w:t>
      </w:r>
    </w:p>
    <w:p w14:paraId="04EEBF62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</w:p>
    <w:p w14:paraId="55A704A4">
      <w:pPr>
        <w:pStyle w:val="2"/>
      </w:pPr>
    </w:p>
    <w:p w14:paraId="7A7DAAD2">
      <w:pPr>
        <w:pStyle w:val="3"/>
      </w:pPr>
    </w:p>
    <w:p w14:paraId="27543762"/>
    <w:p w14:paraId="37B79D56">
      <w:pPr>
        <w:pStyle w:val="2"/>
      </w:pPr>
    </w:p>
    <w:p w14:paraId="01DCC684">
      <w:pPr>
        <w:pStyle w:val="3"/>
      </w:pPr>
    </w:p>
    <w:p w14:paraId="230841A1"/>
    <w:p w14:paraId="05802D5B">
      <w:pPr>
        <w:pStyle w:val="2"/>
      </w:pPr>
    </w:p>
    <w:p w14:paraId="6A54E845">
      <w:pPr>
        <w:pStyle w:val="3"/>
      </w:pPr>
    </w:p>
    <w:p w14:paraId="3D93A44D"/>
    <w:p w14:paraId="0F16B724">
      <w:pPr>
        <w:pStyle w:val="2"/>
      </w:pPr>
    </w:p>
    <w:p w14:paraId="07FDDAF9">
      <w:pPr>
        <w:pStyle w:val="3"/>
      </w:pPr>
    </w:p>
    <w:p w14:paraId="7D5F51DF"/>
    <w:p w14:paraId="1946837A">
      <w:pPr>
        <w:pStyle w:val="2"/>
      </w:pPr>
    </w:p>
    <w:p w14:paraId="09645796">
      <w:pPr>
        <w:pStyle w:val="12"/>
        <w:jc w:val="both"/>
        <w:rPr>
          <w:rFonts w:hint="eastAsia" w:ascii="方正小标宋_GBK" w:hAnsi="方正小标宋_GBK" w:eastAsia="方正小标宋_GBK" w:cs="方正小标宋_GBK"/>
          <w:sz w:val="84"/>
          <w:szCs w:val="84"/>
        </w:rPr>
      </w:pPr>
    </w:p>
    <w:p w14:paraId="403B6EAC">
      <w:pPr>
        <w:rPr>
          <w:rFonts w:hint="eastAsia" w:ascii="方正小标宋_GBK" w:hAnsi="方正小标宋_GBK" w:eastAsia="方正小标宋_GBK" w:cs="方正小标宋_GBK"/>
          <w:sz w:val="84"/>
          <w:szCs w:val="84"/>
        </w:rPr>
      </w:pPr>
      <w:r>
        <w:rPr>
          <w:rFonts w:hint="eastAsia" w:ascii="方正小标宋_GBK" w:hAnsi="方正小标宋_GBK" w:eastAsia="方正小标宋_GBK" w:cs="方正小标宋_GBK"/>
          <w:sz w:val="84"/>
          <w:szCs w:val="84"/>
        </w:rPr>
        <w:br w:type="page"/>
      </w:r>
    </w:p>
    <w:p w14:paraId="168D979C">
      <w:pPr>
        <w:pStyle w:val="12"/>
        <w:jc w:val="center"/>
        <w:rPr>
          <w:rFonts w:hint="eastAsia" w:ascii="方正小标宋_GBK" w:hAnsi="方正小标宋_GBK" w:eastAsia="方正小标宋_GBK" w:cs="方正小标宋_GBK"/>
          <w:sz w:val="84"/>
          <w:szCs w:val="84"/>
        </w:rPr>
      </w:pPr>
    </w:p>
    <w:p w14:paraId="245F4FA0">
      <w:pPr>
        <w:pStyle w:val="12"/>
        <w:jc w:val="center"/>
        <w:rPr>
          <w:rFonts w:hint="eastAsia" w:ascii="方正小标宋_GBK" w:hAnsi="方正小标宋_GBK" w:eastAsia="方正小标宋_GBK" w:cs="方正小标宋_GBK"/>
          <w:sz w:val="84"/>
          <w:szCs w:val="84"/>
        </w:rPr>
      </w:pPr>
    </w:p>
    <w:p w14:paraId="45338753">
      <w:pPr>
        <w:pStyle w:val="12"/>
        <w:jc w:val="center"/>
        <w:rPr>
          <w:rFonts w:hint="eastAsia" w:ascii="方正小标宋_GBK" w:hAnsi="方正小标宋_GBK" w:eastAsia="方正小标宋_GBK" w:cs="方正小标宋_GBK"/>
          <w:sz w:val="84"/>
          <w:szCs w:val="84"/>
        </w:rPr>
      </w:pPr>
    </w:p>
    <w:p w14:paraId="44AF1737">
      <w:pPr>
        <w:pStyle w:val="12"/>
        <w:jc w:val="center"/>
        <w:rPr>
          <w:rFonts w:hint="eastAsia" w:ascii="方正小标宋_GBK" w:hAnsi="方正小标宋_GBK" w:eastAsia="方正小标宋_GBK" w:cs="方正小标宋_GBK"/>
          <w:sz w:val="84"/>
          <w:szCs w:val="84"/>
        </w:rPr>
      </w:pPr>
      <w:r>
        <w:rPr>
          <w:rFonts w:hint="eastAsia" w:ascii="方正小标宋_GBK" w:hAnsi="方正小标宋_GBK" w:eastAsia="方正小标宋_GBK" w:cs="方正小标宋_GBK"/>
          <w:sz w:val="84"/>
          <w:szCs w:val="84"/>
        </w:rPr>
        <w:t>第二部分</w:t>
      </w:r>
    </w:p>
    <w:p w14:paraId="3D95180F">
      <w:pPr>
        <w:pStyle w:val="12"/>
        <w:jc w:val="center"/>
        <w:rPr>
          <w:rFonts w:hint="eastAsia" w:ascii="方正小标宋_GBK" w:hAnsi="方正小标宋_GBK" w:eastAsia="方正小标宋_GBK" w:cs="方正小标宋_GBK"/>
          <w:sz w:val="84"/>
          <w:szCs w:val="84"/>
        </w:rPr>
      </w:pPr>
    </w:p>
    <w:p w14:paraId="523BB0A0">
      <w:pPr>
        <w:pStyle w:val="12"/>
        <w:jc w:val="center"/>
        <w:rPr>
          <w:rFonts w:hint="eastAsia" w:ascii="方正小标宋_GBK" w:hAnsi="方正小标宋_GBK" w:eastAsia="方正小标宋_GBK" w:cs="方正小标宋_GBK"/>
          <w:sz w:val="84"/>
          <w:szCs w:val="84"/>
        </w:rPr>
      </w:pPr>
      <w:r>
        <w:rPr>
          <w:rFonts w:hint="eastAsia" w:ascii="方正小标宋_GBK" w:hAnsi="方正小标宋_GBK" w:eastAsia="方正小标宋_GBK" w:cs="方正小标宋_GBK"/>
          <w:sz w:val="84"/>
          <w:szCs w:val="84"/>
        </w:rPr>
        <w:t>部门决算表</w:t>
      </w:r>
    </w:p>
    <w:p w14:paraId="67463EE5">
      <w:pPr>
        <w:pStyle w:val="12"/>
        <w:jc w:val="center"/>
        <w:rPr>
          <w:rFonts w:hint="eastAsia" w:ascii="仿宋_GB2312" w:hAnsi="仿宋_GB2312" w:eastAsia="仿宋_GB2312" w:cs="仿宋_GB2312"/>
          <w:b w:val="0"/>
          <w:bCs w:val="0"/>
          <w:sz w:val="72"/>
          <w:szCs w:val="7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72"/>
          <w:szCs w:val="72"/>
          <w:lang w:eastAsia="zh-CN"/>
        </w:rPr>
        <w:t>（见附件）</w:t>
      </w:r>
    </w:p>
    <w:p w14:paraId="62EC9D27">
      <w:pPr>
        <w:pStyle w:val="12"/>
        <w:jc w:val="center"/>
        <w:rPr>
          <w:rFonts w:hint="eastAsia" w:ascii="仿宋_GB2312" w:hAnsi="仿宋_GB2312" w:eastAsia="仿宋_GB2312" w:cs="仿宋_GB2312"/>
          <w:b w:val="0"/>
          <w:bCs w:val="0"/>
          <w:sz w:val="72"/>
          <w:szCs w:val="72"/>
          <w:lang w:eastAsia="zh-CN"/>
        </w:rPr>
      </w:pPr>
    </w:p>
    <w:p w14:paraId="7CBD901E">
      <w:pPr>
        <w:pStyle w:val="12"/>
        <w:jc w:val="center"/>
        <w:rPr>
          <w:rFonts w:hint="eastAsia" w:ascii="仿宋_GB2312" w:hAnsi="仿宋_GB2312" w:eastAsia="仿宋_GB2312" w:cs="仿宋_GB2312"/>
          <w:b w:val="0"/>
          <w:bCs w:val="0"/>
          <w:sz w:val="72"/>
          <w:szCs w:val="72"/>
          <w:lang w:eastAsia="zh-CN"/>
        </w:rPr>
      </w:pPr>
    </w:p>
    <w:p w14:paraId="3EDD3E13">
      <w:pPr>
        <w:pStyle w:val="12"/>
        <w:jc w:val="center"/>
        <w:rPr>
          <w:rFonts w:hint="eastAsia" w:ascii="仿宋_GB2312" w:hAnsi="仿宋_GB2312" w:eastAsia="仿宋_GB2312" w:cs="仿宋_GB2312"/>
          <w:b w:val="0"/>
          <w:bCs w:val="0"/>
          <w:sz w:val="72"/>
          <w:szCs w:val="72"/>
          <w:lang w:eastAsia="zh-CN"/>
        </w:rPr>
      </w:pPr>
    </w:p>
    <w:p w14:paraId="63183CE6">
      <w:pPr>
        <w:pStyle w:val="12"/>
        <w:jc w:val="center"/>
        <w:rPr>
          <w:rFonts w:hint="eastAsia" w:ascii="仿宋_GB2312" w:hAnsi="仿宋_GB2312" w:eastAsia="仿宋_GB2312" w:cs="仿宋_GB2312"/>
          <w:b w:val="0"/>
          <w:bCs w:val="0"/>
          <w:sz w:val="72"/>
          <w:szCs w:val="72"/>
          <w:lang w:eastAsia="zh-CN"/>
        </w:rPr>
      </w:pPr>
    </w:p>
    <w:p w14:paraId="4810A8EF">
      <w:pPr>
        <w:pStyle w:val="12"/>
        <w:jc w:val="center"/>
        <w:rPr>
          <w:rFonts w:hint="eastAsia" w:ascii="仿宋_GB2312" w:hAnsi="仿宋_GB2312" w:eastAsia="仿宋_GB2312" w:cs="仿宋_GB2312"/>
          <w:b w:val="0"/>
          <w:bCs w:val="0"/>
          <w:sz w:val="72"/>
          <w:szCs w:val="72"/>
          <w:lang w:eastAsia="zh-CN"/>
        </w:rPr>
      </w:pPr>
    </w:p>
    <w:p w14:paraId="665F8B97">
      <w:pPr>
        <w:pStyle w:val="12"/>
        <w:jc w:val="center"/>
        <w:rPr>
          <w:rFonts w:hint="eastAsia" w:ascii="仿宋_GB2312" w:hAnsi="仿宋_GB2312" w:eastAsia="仿宋_GB2312" w:cs="仿宋_GB2312"/>
          <w:b w:val="0"/>
          <w:bCs w:val="0"/>
          <w:sz w:val="72"/>
          <w:szCs w:val="72"/>
          <w:lang w:eastAsia="zh-CN"/>
        </w:rPr>
      </w:pPr>
    </w:p>
    <w:p w14:paraId="126FC431">
      <w:pPr>
        <w:pStyle w:val="12"/>
        <w:jc w:val="center"/>
        <w:rPr>
          <w:rFonts w:hint="eastAsia" w:ascii="仿宋_GB2312" w:hAnsi="仿宋_GB2312" w:eastAsia="仿宋_GB2312" w:cs="仿宋_GB2312"/>
          <w:b w:val="0"/>
          <w:bCs w:val="0"/>
          <w:sz w:val="72"/>
          <w:szCs w:val="72"/>
          <w:lang w:eastAsia="zh-CN"/>
        </w:rPr>
      </w:pPr>
    </w:p>
    <w:p w14:paraId="3E73684E">
      <w:pPr>
        <w:pStyle w:val="12"/>
        <w:jc w:val="center"/>
        <w:rPr>
          <w:rFonts w:hint="eastAsia" w:ascii="方正小标宋_GBK" w:hAnsi="方正小标宋_GBK" w:eastAsia="方正小标宋_GBK" w:cs="方正小标宋_GBK"/>
          <w:sz w:val="72"/>
          <w:szCs w:val="72"/>
        </w:rPr>
      </w:pPr>
    </w:p>
    <w:p w14:paraId="33B25BA8">
      <w:pPr>
        <w:pStyle w:val="12"/>
        <w:jc w:val="both"/>
        <w:rPr>
          <w:rFonts w:hint="eastAsia" w:ascii="方正小标宋_GBK" w:hAnsi="方正小标宋_GBK" w:eastAsia="方正小标宋_GBK" w:cs="方正小标宋_GBK"/>
          <w:sz w:val="72"/>
          <w:szCs w:val="72"/>
        </w:rPr>
      </w:pPr>
    </w:p>
    <w:p w14:paraId="7CFD8B3E">
      <w:pPr>
        <w:pStyle w:val="12"/>
        <w:jc w:val="center"/>
        <w:rPr>
          <w:rFonts w:hint="eastAsia" w:ascii="方正小标宋_GBK" w:hAnsi="方正小标宋_GBK" w:eastAsia="方正小标宋_GBK" w:cs="方正小标宋_GBK"/>
          <w:sz w:val="72"/>
          <w:szCs w:val="72"/>
        </w:rPr>
      </w:pPr>
    </w:p>
    <w:p w14:paraId="659ADAF5">
      <w:pPr>
        <w:pStyle w:val="12"/>
        <w:jc w:val="center"/>
        <w:rPr>
          <w:rFonts w:hint="eastAsia" w:ascii="方正小标宋_GBK" w:hAnsi="方正小标宋_GBK" w:eastAsia="方正小标宋_GBK" w:cs="方正小标宋_GBK"/>
          <w:sz w:val="72"/>
          <w:szCs w:val="72"/>
        </w:rPr>
      </w:pPr>
      <w:r>
        <w:rPr>
          <w:rFonts w:hint="eastAsia" w:ascii="方正小标宋_GBK" w:hAnsi="方正小标宋_GBK" w:eastAsia="方正小标宋_GBK" w:cs="方正小标宋_GBK"/>
          <w:sz w:val="72"/>
          <w:szCs w:val="72"/>
        </w:rPr>
        <w:t>第三部分</w:t>
      </w:r>
    </w:p>
    <w:p w14:paraId="03EB86CE">
      <w:pPr>
        <w:pStyle w:val="12"/>
        <w:jc w:val="center"/>
        <w:rPr>
          <w:rFonts w:hint="eastAsia" w:ascii="方正小标宋_GBK" w:hAnsi="方正小标宋_GBK" w:eastAsia="方正小标宋_GBK" w:cs="方正小标宋_GBK"/>
          <w:sz w:val="70"/>
          <w:szCs w:val="70"/>
        </w:rPr>
      </w:pPr>
    </w:p>
    <w:p w14:paraId="16C67088">
      <w:pPr>
        <w:pStyle w:val="12"/>
        <w:jc w:val="center"/>
        <w:rPr>
          <w:rFonts w:hint="eastAsia" w:ascii="方正小标宋_GBK" w:hAnsi="方正小标宋_GBK" w:eastAsia="方正小标宋_GBK" w:cs="方正小标宋_GBK"/>
          <w:sz w:val="70"/>
          <w:szCs w:val="70"/>
        </w:rPr>
      </w:pPr>
      <w:r>
        <w:rPr>
          <w:rFonts w:hint="eastAsia" w:ascii="方正小标宋_GBK" w:hAnsi="方正小标宋_GBK" w:eastAsia="方正小标宋_GBK" w:cs="方正小标宋_GBK"/>
          <w:sz w:val="70"/>
          <w:szCs w:val="70"/>
        </w:rPr>
        <w:t>202</w:t>
      </w:r>
      <w:r>
        <w:rPr>
          <w:rFonts w:hint="eastAsia" w:ascii="方正小标宋_GBK" w:hAnsi="方正小标宋_GBK" w:eastAsia="方正小标宋_GBK" w:cs="方正小标宋_GBK"/>
          <w:sz w:val="70"/>
          <w:szCs w:val="70"/>
          <w:lang w:val="en-US" w:eastAsia="zh-CN"/>
        </w:rPr>
        <w:t>4</w:t>
      </w:r>
      <w:r>
        <w:rPr>
          <w:rFonts w:hint="eastAsia" w:ascii="方正小标宋_GBK" w:hAnsi="方正小标宋_GBK" w:eastAsia="方正小标宋_GBK" w:cs="方正小标宋_GBK"/>
          <w:sz w:val="70"/>
          <w:szCs w:val="70"/>
        </w:rPr>
        <w:t>年度部门决算情况说明</w:t>
      </w:r>
    </w:p>
    <w:p w14:paraId="3201E421">
      <w:pPr>
        <w:pStyle w:val="12"/>
        <w:jc w:val="center"/>
        <w:rPr>
          <w:rFonts w:hint="eastAsia" w:ascii="方正小标宋_GBK" w:hAnsi="方正小标宋_GBK" w:eastAsia="方正小标宋_GBK" w:cs="方正小标宋_GBK"/>
          <w:sz w:val="70"/>
          <w:szCs w:val="70"/>
        </w:rPr>
      </w:pPr>
    </w:p>
    <w:p w14:paraId="7343D289">
      <w:pPr>
        <w:pStyle w:val="12"/>
        <w:jc w:val="center"/>
        <w:rPr>
          <w:rFonts w:hint="eastAsia" w:ascii="方正小标宋_GBK" w:hAnsi="方正小标宋_GBK" w:eastAsia="方正小标宋_GBK" w:cs="方正小标宋_GBK"/>
          <w:sz w:val="70"/>
          <w:szCs w:val="70"/>
        </w:rPr>
      </w:pPr>
    </w:p>
    <w:p w14:paraId="5D135D66">
      <w:pPr>
        <w:pStyle w:val="12"/>
        <w:jc w:val="center"/>
        <w:rPr>
          <w:rFonts w:hint="eastAsia" w:ascii="方正小标宋_GBK" w:hAnsi="方正小标宋_GBK" w:eastAsia="方正小标宋_GBK" w:cs="方正小标宋_GBK"/>
          <w:sz w:val="70"/>
          <w:szCs w:val="70"/>
        </w:rPr>
      </w:pPr>
    </w:p>
    <w:p w14:paraId="1308581C">
      <w:pPr>
        <w:pStyle w:val="12"/>
        <w:jc w:val="both"/>
        <w:rPr>
          <w:rFonts w:hint="eastAsia" w:ascii="方正小标宋_GBK" w:hAnsi="方正小标宋_GBK" w:eastAsia="方正小标宋_GBK" w:cs="方正小标宋_GBK"/>
          <w:sz w:val="70"/>
          <w:szCs w:val="70"/>
        </w:rPr>
      </w:pPr>
    </w:p>
    <w:p w14:paraId="70B68CB7">
      <w:pPr>
        <w:widowControl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说明：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1、</w:t>
      </w:r>
      <w:r>
        <w:rPr>
          <w:rFonts w:hint="eastAsia" w:ascii="仿宋_GB2312" w:hAnsi="仿宋_GB2312" w:eastAsia="仿宋_GB2312" w:cs="仿宋_GB2312"/>
          <w:sz w:val="32"/>
          <w:szCs w:val="32"/>
        </w:rPr>
        <w:t>由于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部门</w:t>
      </w:r>
      <w:r>
        <w:rPr>
          <w:rFonts w:hint="eastAsia" w:ascii="仿宋_GB2312" w:hAnsi="仿宋_GB2312" w:eastAsia="仿宋_GB2312" w:cs="仿宋_GB2312"/>
          <w:sz w:val="32"/>
          <w:szCs w:val="32"/>
        </w:rPr>
        <w:t>决算编制时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数据</w:t>
      </w:r>
      <w:r>
        <w:rPr>
          <w:rFonts w:hint="eastAsia" w:ascii="仿宋_GB2312" w:hAnsi="仿宋_GB2312" w:eastAsia="仿宋_GB2312" w:cs="仿宋_GB2312"/>
          <w:sz w:val="32"/>
          <w:szCs w:val="32"/>
        </w:rPr>
        <w:t>明细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至“金额单位：元</w:t>
      </w:r>
      <w:r>
        <w:rPr>
          <w:rFonts w:hint="eastAsia" w:ascii="仿宋_GB2312" w:hAnsi="仿宋_GB2312" w:eastAsia="仿宋_GB2312" w:cs="仿宋_GB2312"/>
          <w:sz w:val="32"/>
          <w:szCs w:val="32"/>
        </w:rPr>
        <w:t>”，而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本套部门决算文字说明</w:t>
      </w:r>
      <w:r>
        <w:rPr>
          <w:rFonts w:hint="eastAsia" w:ascii="仿宋_GB2312" w:hAnsi="仿宋_GB2312" w:eastAsia="仿宋_GB2312" w:cs="仿宋_GB2312"/>
          <w:sz w:val="32"/>
          <w:szCs w:val="32"/>
        </w:rPr>
        <w:t>和公开表格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数据</w:t>
      </w:r>
      <w:r>
        <w:rPr>
          <w:rFonts w:hint="eastAsia" w:ascii="仿宋_GB2312" w:hAnsi="仿宋_GB2312" w:eastAsia="仿宋_GB2312" w:cs="仿宋_GB2312"/>
          <w:sz w:val="32"/>
          <w:szCs w:val="32"/>
        </w:rPr>
        <w:t>取数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转换为</w:t>
      </w:r>
      <w:r>
        <w:rPr>
          <w:rFonts w:hint="eastAsia" w:ascii="仿宋_GB2312" w:hAnsi="仿宋_GB2312" w:eastAsia="仿宋_GB2312" w:cs="仿宋_GB2312"/>
          <w:sz w:val="32"/>
          <w:szCs w:val="32"/>
        </w:rPr>
        <w:t>“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金额单位：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万元”，可能导致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以下文字说明中的各项数据取数以及公开</w:t>
      </w:r>
      <w:r>
        <w:rPr>
          <w:rFonts w:hint="eastAsia" w:ascii="仿宋_GB2312" w:hAnsi="仿宋_GB2312" w:eastAsia="仿宋_GB2312" w:cs="仿宋_GB2312"/>
          <w:sz w:val="32"/>
          <w:szCs w:val="32"/>
        </w:rPr>
        <w:t>表格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中的各项数据取数之间存在</w:t>
      </w:r>
      <w:r>
        <w:rPr>
          <w:rFonts w:hint="eastAsia" w:ascii="仿宋_GB2312" w:hAnsi="仿宋_GB2312" w:eastAsia="仿宋_GB2312" w:cs="仿宋_GB2312"/>
          <w:sz w:val="32"/>
          <w:szCs w:val="32"/>
        </w:rPr>
        <w:t>0.01的尾数差异。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2、以下文字说明中，部分科目由于预算数为0，无法计算完成年初预算的百分比，故未描述“</w:t>
      </w:r>
      <w:r>
        <w:rPr>
          <w:rFonts w:hint="eastAsia" w:ascii="仿宋_GB2312" w:hAnsi="仿宋_GB2312" w:eastAsia="仿宋_GB2312" w:cs="仿宋_GB2312"/>
          <w:sz w:val="32"/>
          <w:szCs w:val="32"/>
        </w:rPr>
        <w:t>完成年初预算的XX%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”。</w:t>
      </w:r>
      <w:r>
        <w:rPr>
          <w:rFonts w:hint="eastAsia" w:ascii="仿宋_GB2312" w:hAnsi="仿宋_GB2312" w:eastAsia="仿宋_GB2312" w:cs="仿宋_GB2312"/>
          <w:sz w:val="32"/>
          <w:szCs w:val="32"/>
        </w:rPr>
        <w:t>）</w:t>
      </w:r>
    </w:p>
    <w:p w14:paraId="5B0F13BF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一、收入支出决算总体情况说明</w:t>
      </w:r>
    </w:p>
    <w:p w14:paraId="58B16594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年度收、支总计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30088.1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万元。与上年相比，减少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1640.39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万元，减少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5.17</w:t>
      </w:r>
      <w:r>
        <w:rPr>
          <w:rFonts w:hint="eastAsia" w:ascii="仿宋_GB2312" w:hAnsi="仿宋_GB2312" w:eastAsia="仿宋_GB2312" w:cs="仿宋_GB2312"/>
          <w:sz w:val="32"/>
          <w:szCs w:val="32"/>
        </w:rPr>
        <w:t>%，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主要是因为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支出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下降，新院搬迁完成后，支出有所减少。</w:t>
      </w:r>
    </w:p>
    <w:p w14:paraId="2ECCDC64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二、收入决算情况说明</w:t>
      </w:r>
    </w:p>
    <w:p w14:paraId="423F0F87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年度收入合计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30088.1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万元，其中：财政拨款收入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3082.22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10.24</w:t>
      </w:r>
      <w:r>
        <w:rPr>
          <w:rFonts w:hint="eastAsia" w:ascii="仿宋_GB2312" w:hAnsi="仿宋_GB2312" w:eastAsia="仿宋_GB2312" w:cs="仿宋_GB2312"/>
          <w:sz w:val="32"/>
          <w:szCs w:val="32"/>
        </w:rPr>
        <w:t>%；上级补助收入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%；事业收入26989.72万元，占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89.70</w:t>
      </w:r>
      <w:r>
        <w:rPr>
          <w:rFonts w:hint="eastAsia" w:ascii="仿宋_GB2312" w:hAnsi="仿宋_GB2312" w:eastAsia="仿宋_GB2312" w:cs="仿宋_GB2312"/>
          <w:sz w:val="32"/>
          <w:szCs w:val="32"/>
        </w:rPr>
        <w:t>%；经营收入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%；附属单位上缴收入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%；其他收入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16.16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0.05</w:t>
      </w:r>
      <w:r>
        <w:rPr>
          <w:rFonts w:hint="eastAsia" w:ascii="仿宋_GB2312" w:hAnsi="仿宋_GB2312" w:eastAsia="仿宋_GB2312" w:cs="仿宋_GB2312"/>
          <w:sz w:val="32"/>
          <w:szCs w:val="32"/>
        </w:rPr>
        <w:t>%。</w:t>
      </w:r>
    </w:p>
    <w:p w14:paraId="3BB83948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三、支出决算情况说明</w:t>
      </w:r>
    </w:p>
    <w:p w14:paraId="236360BF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年度支出合计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29730.35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万元，其中：基本支出28428.12万元，占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95.62</w:t>
      </w:r>
      <w:r>
        <w:rPr>
          <w:rFonts w:hint="eastAsia" w:ascii="仿宋_GB2312" w:hAnsi="仿宋_GB2312" w:eastAsia="仿宋_GB2312" w:cs="仿宋_GB2312"/>
          <w:sz w:val="32"/>
          <w:szCs w:val="32"/>
        </w:rPr>
        <w:t>%；项目支出1302.22万元，占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4.38</w:t>
      </w:r>
      <w:r>
        <w:rPr>
          <w:rFonts w:hint="eastAsia" w:ascii="仿宋_GB2312" w:hAnsi="仿宋_GB2312" w:eastAsia="仿宋_GB2312" w:cs="仿宋_GB2312"/>
          <w:sz w:val="32"/>
          <w:szCs w:val="32"/>
        </w:rPr>
        <w:t>%；上缴上级支出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%；经营支出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%；对附属单位补助支出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%。</w:t>
      </w:r>
    </w:p>
    <w:p w14:paraId="24A1046F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四、财政拨款收入支出决算总体情况说明</w:t>
      </w:r>
    </w:p>
    <w:p w14:paraId="036CAC6E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sz w:val="32"/>
          <w:szCs w:val="32"/>
        </w:rPr>
        <w:t xml:space="preserve">  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年度财政拨款收、支总计3082.22万元，与上年相比，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减少511.27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万元,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降低14.23</w:t>
      </w:r>
      <w:r>
        <w:rPr>
          <w:rFonts w:hint="eastAsia" w:ascii="仿宋_GB2312" w:hAnsi="仿宋_GB2312" w:eastAsia="仿宋_GB2312" w:cs="仿宋_GB2312"/>
          <w:sz w:val="32"/>
          <w:szCs w:val="32"/>
        </w:rPr>
        <w:t>%，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主要是因为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2024年下拨新冠肺炎重症救治能力资金、重点学科资金下降。</w:t>
      </w:r>
    </w:p>
    <w:p w14:paraId="20297F64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五、一般公共预算财政拨款支出决算情况说明</w:t>
      </w:r>
    </w:p>
    <w:p w14:paraId="46EBE506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（一）一般公共预算财政拨款支出决算总体情况</w:t>
      </w:r>
    </w:p>
    <w:p w14:paraId="7985C924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年度财政拨款支出3082.22万元，占本年支出合计的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10.37</w:t>
      </w:r>
      <w:r>
        <w:rPr>
          <w:rFonts w:hint="eastAsia" w:ascii="仿宋_GB2312" w:hAnsi="仿宋_GB2312" w:eastAsia="仿宋_GB2312" w:cs="仿宋_GB2312"/>
          <w:sz w:val="32"/>
          <w:szCs w:val="32"/>
        </w:rPr>
        <w:t>%，与上年相比，财政拨款支出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减少511.27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降低14.23</w:t>
      </w:r>
      <w:r>
        <w:rPr>
          <w:rFonts w:hint="eastAsia" w:ascii="仿宋_GB2312" w:hAnsi="仿宋_GB2312" w:eastAsia="仿宋_GB2312" w:cs="仿宋_GB2312"/>
          <w:sz w:val="32"/>
          <w:szCs w:val="32"/>
        </w:rPr>
        <w:t>%，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主要是因为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2024年下拨新冠肺炎重症救治能力资金、重点学科资金下降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72EBB9A5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（二）一般公共预算财政拨款支出决算结构情况</w:t>
      </w:r>
    </w:p>
    <w:p w14:paraId="0E3739B2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年度财政拨款支出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3082.22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万元，主要用于以下方面：科学技术支出（类）支出29.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75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万元，占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0.97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%；</w:t>
      </w:r>
      <w:r>
        <w:rPr>
          <w:rFonts w:hint="eastAsia" w:ascii="仿宋_GB2312" w:hAnsi="仿宋_GB2312" w:eastAsia="仿宋_GB2312" w:cs="仿宋_GB2312"/>
          <w:sz w:val="32"/>
          <w:szCs w:val="32"/>
        </w:rPr>
        <w:t>社会保障和就业支出（类）支出257.06万元，占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8.34</w:t>
      </w:r>
      <w:r>
        <w:rPr>
          <w:rFonts w:hint="eastAsia" w:ascii="仿宋_GB2312" w:hAnsi="仿宋_GB2312" w:eastAsia="仿宋_GB2312" w:cs="仿宋_GB2312"/>
          <w:sz w:val="32"/>
          <w:szCs w:val="32"/>
        </w:rPr>
        <w:t>%;卫生健康支出2259.06万元，占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73.29</w:t>
      </w:r>
      <w:r>
        <w:rPr>
          <w:rFonts w:hint="eastAsia" w:ascii="仿宋_GB2312" w:hAnsi="仿宋_GB2312" w:eastAsia="仿宋_GB2312" w:cs="仿宋_GB2312"/>
          <w:sz w:val="32"/>
          <w:szCs w:val="32"/>
        </w:rPr>
        <w:t>%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，节能环保支出199.92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万元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占6.49%；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住房保障支出177.26万元，</w:t>
      </w:r>
      <w:r>
        <w:rPr>
          <w:rFonts w:hint="eastAsia" w:ascii="仿宋_GB2312" w:hAnsi="仿宋_GB2312" w:eastAsia="仿宋_GB2312" w:cs="仿宋_GB2312"/>
          <w:sz w:val="32"/>
          <w:szCs w:val="32"/>
        </w:rPr>
        <w:t>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5.75</w:t>
      </w:r>
      <w:r>
        <w:rPr>
          <w:rFonts w:hint="eastAsia" w:ascii="仿宋_GB2312" w:hAnsi="仿宋_GB2312" w:eastAsia="仿宋_GB2312" w:cs="仿宋_GB2312"/>
          <w:sz w:val="32"/>
          <w:szCs w:val="32"/>
        </w:rPr>
        <w:t>%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；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其他支出159.18万元，占5.16%。</w:t>
      </w:r>
    </w:p>
    <w:p w14:paraId="556AB245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（三）一般公共预算财政拨款支出决算具体情况</w:t>
      </w:r>
    </w:p>
    <w:p w14:paraId="0533C1D6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年度财政拨款支出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年初预算数为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1817.41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万</w:t>
      </w:r>
      <w:r>
        <w:rPr>
          <w:rFonts w:hint="eastAsia" w:ascii="仿宋_GB2312" w:hAnsi="仿宋_GB2312" w:eastAsia="仿宋_GB2312" w:cs="仿宋_GB2312"/>
          <w:sz w:val="32"/>
          <w:szCs w:val="32"/>
        </w:rPr>
        <w:t>元，支出决算数为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3082.22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万元，完成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年初预算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169.59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%</w:t>
      </w:r>
      <w:r>
        <w:rPr>
          <w:rFonts w:hint="eastAsia" w:ascii="仿宋_GB2312" w:hAnsi="仿宋_GB2312" w:eastAsia="仿宋_GB2312" w:cs="仿宋_GB2312"/>
          <w:sz w:val="32"/>
          <w:szCs w:val="32"/>
        </w:rPr>
        <w:t>，其中：</w:t>
      </w:r>
    </w:p>
    <w:p w14:paraId="2638B690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1、</w:t>
      </w:r>
      <w:r>
        <w:rPr>
          <w:rFonts w:hint="eastAsia" w:ascii="Times New Roman" w:hAnsi="Times New Roman" w:eastAsia="仿宋_GB2312"/>
          <w:sz w:val="32"/>
          <w:szCs w:val="32"/>
        </w:rPr>
        <w:t>科学技术支出（类）基础研究（款）自然科学基金（项）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 w14:paraId="2493950D">
      <w:pPr>
        <w:pStyle w:val="12"/>
        <w:spacing w:line="600" w:lineRule="exact"/>
        <w:ind w:firstLine="800" w:firstLineChars="25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年初预算为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万元，</w:t>
      </w:r>
      <w:r>
        <w:rPr>
          <w:rFonts w:hint="eastAsia" w:ascii="仿宋_GB2312" w:hAnsi="仿宋_GB2312" w:eastAsia="仿宋_GB2312" w:cs="仿宋_GB2312"/>
          <w:sz w:val="32"/>
          <w:szCs w:val="32"/>
        </w:rPr>
        <w:t>支出决算为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决算数大于年初预算数的主要原因是：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年初没有预算，是上年结转的科研专项资金。</w:t>
      </w:r>
    </w:p>
    <w:p w14:paraId="28CAE586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2、</w:t>
      </w:r>
      <w:r>
        <w:rPr>
          <w:rFonts w:hint="eastAsia" w:ascii="Times New Roman" w:hAnsi="Times New Roman" w:eastAsia="仿宋_GB2312"/>
          <w:sz w:val="32"/>
          <w:szCs w:val="32"/>
        </w:rPr>
        <w:t>科学技术支出（类）基础研究（款）其他基础研究支出（项）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 w14:paraId="182BC58F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eastAsia" w:ascii="Times New Roman" w:hAnsi="Times New Roman" w:eastAsia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年初预算为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万元，支出决算为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0.89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万元，决算数大于年初预算数的主要原因是：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年初没有预算，是上年结转的科研专项资金。</w:t>
      </w:r>
    </w:p>
    <w:p w14:paraId="31DC631E">
      <w:pPr>
        <w:pStyle w:val="12"/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eastAsia" w:ascii="Times New Roman" w:hAnsi="Times New Roman" w:eastAsia="仿宋_GB2312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sz w:val="32"/>
          <w:szCs w:val="32"/>
        </w:rPr>
        <w:t>科学技术支出（类）其他科学技术支出（款）其他科学技术支出（项）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。</w:t>
      </w:r>
    </w:p>
    <w:p w14:paraId="1AF81595">
      <w:pPr>
        <w:pStyle w:val="1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firstLine="800" w:firstLineChars="250"/>
        <w:textAlignment w:val="auto"/>
        <w:rPr>
          <w:rFonts w:hint="eastAsia" w:ascii="Times New Roman" w:hAnsi="Times New Roman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年初预算为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万元，</w:t>
      </w:r>
      <w:r>
        <w:rPr>
          <w:rFonts w:hint="eastAsia" w:ascii="仿宋_GB2312" w:hAnsi="仿宋_GB2312" w:eastAsia="仿宋_GB2312" w:cs="仿宋_GB2312"/>
          <w:sz w:val="32"/>
          <w:szCs w:val="32"/>
        </w:rPr>
        <w:t>支出决算为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23.86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决算数大于年初预算数的主要原因是：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年初没有预算，是上年结转的科研专项资金。</w:t>
      </w:r>
    </w:p>
    <w:p w14:paraId="320207D6">
      <w:pPr>
        <w:pStyle w:val="12"/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eastAsia" w:ascii="Times New Roman" w:hAnsi="Times New Roman" w:eastAsia="仿宋_GB2312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社会保障和就业支出（类）行政事业单位养老支出（款）事业单位离退休（项）。</w:t>
      </w:r>
    </w:p>
    <w:p w14:paraId="10567CE2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eastAsia" w:ascii="Times New Roman" w:hAnsi="Times New Roman" w:eastAsia="仿宋_GB2312"/>
          <w:color w:val="0000FF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年初预算为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23.28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万元，支出决算为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14.45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完成年初预算的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62.07%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决算数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小于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年初预算数的主要原因是：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eastAsia="zh-CN"/>
        </w:rPr>
        <w:t>离退休人员的人员经费已用完，但公用经费未使用完，有结余。</w:t>
      </w:r>
    </w:p>
    <w:p w14:paraId="0660F745">
      <w:pPr>
        <w:pStyle w:val="12"/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eastAsia" w:ascii="Times New Roman" w:hAnsi="Times New Roman" w:eastAsia="仿宋_GB2312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社会保障和就业支出（类）行政事业单位养老支出（款）机关事业单位基本养老保险缴费支出（项）</w:t>
      </w:r>
    </w:p>
    <w:p w14:paraId="064856EB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eastAsia" w:ascii="Times New Roman" w:hAnsi="Times New Roman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年初预算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227.41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万元，支出决算为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227.41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万元，决算数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等于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年初预算数的主要原因是：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eastAsia="zh-CN"/>
        </w:rPr>
        <w:t>财政拨付的在编人员基本养老保险费，已按时按量缴纳社保。</w:t>
      </w:r>
    </w:p>
    <w:p w14:paraId="71B34F73">
      <w:pPr>
        <w:pStyle w:val="12"/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eastAsia" w:ascii="Times New Roman" w:hAnsi="Times New Roman" w:eastAsia="仿宋_GB2312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社会保障和就业支出（类）抚恤（款）其他优抚支出（项）</w:t>
      </w:r>
    </w:p>
    <w:p w14:paraId="2B412990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default" w:ascii="Times New Roman" w:hAnsi="Times New Roman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年初预算为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万元，支出决算为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15.2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万元，决算数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大于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年初预算数的主要原因是：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年初没有预算，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eastAsia="zh-CN"/>
        </w:rPr>
        <w:t>根据实际情况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追加的一次性抚恤及遗属费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eastAsia="zh-CN"/>
        </w:rPr>
        <w:t>。</w:t>
      </w:r>
    </w:p>
    <w:p w14:paraId="6E393535">
      <w:pPr>
        <w:pStyle w:val="12"/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eastAsia" w:ascii="Times New Roman" w:hAnsi="Times New Roman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color w:val="auto"/>
          <w:sz w:val="32"/>
          <w:szCs w:val="32"/>
          <w:lang w:val="en-US" w:eastAsia="zh-CN"/>
        </w:rPr>
        <w:t>卫生健康支出（类）公立医院（款）妇幼保健医院（项）</w:t>
      </w:r>
    </w:p>
    <w:p w14:paraId="3566DEB3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default" w:ascii="仿宋_GB2312" w:hAnsi="仿宋_GB2312" w:eastAsia="仿宋_GB2312" w:cs="仿宋_GB2312"/>
          <w:color w:val="C0504D" w:themeColor="accent2"/>
          <w:sz w:val="32"/>
          <w:szCs w:val="32"/>
          <w:lang w:val="en-US" w:eastAsia="zh-CN"/>
          <w14:textFill>
            <w14:solidFill>
              <w14:schemeClr w14:val="accent2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年初预算为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1066.66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万元，支出决算为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1225.54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万元，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完成年初预算的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114.90%，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决算数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大于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年初预算数的主要原因是：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年中追加爱心助孕、中医药专项、重大传染病等支出。</w:t>
      </w:r>
    </w:p>
    <w:p w14:paraId="1A567BA1">
      <w:pPr>
        <w:pStyle w:val="12"/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eastAsia" w:ascii="Times New Roman" w:hAnsi="Times New Roman" w:eastAsia="仿宋_GB2312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卫生健康支出（类）公立医院（款）其他公立医院支出（项）</w:t>
      </w:r>
    </w:p>
    <w:p w14:paraId="62CBCE5E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年初预算为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万元，支出决算为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588.07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万元，决算数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大于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年初预算数的主要原因是：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年初没有预算，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eastAsia="zh-CN"/>
        </w:rPr>
        <w:t>年中拨付项目资金，包括重点学科建设资金、新冠重症救治能力提升资金、公立医院改革补助。</w:t>
      </w:r>
    </w:p>
    <w:p w14:paraId="2C5D4C64">
      <w:pPr>
        <w:pStyle w:val="12"/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eastAsia" w:ascii="Times New Roman" w:hAnsi="Times New Roman" w:eastAsia="仿宋_GB2312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卫生健康支出（类）公共卫生（款）重大公共卫生服务（项）</w:t>
      </w:r>
    </w:p>
    <w:p w14:paraId="21468F93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default" w:ascii="仿宋_GB2312" w:hAnsi="仿宋_GB2312" w:eastAsia="仿宋_GB2312" w:cs="仿宋_GB2312"/>
          <w:color w:val="0000FF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年初预算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万元</w:t>
      </w:r>
      <w:r>
        <w:rPr>
          <w:rFonts w:hint="eastAsia" w:ascii="仿宋_GB2312" w:hAnsi="仿宋_GB2312" w:eastAsia="仿宋_GB2312" w:cs="仿宋_GB2312"/>
          <w:sz w:val="32"/>
          <w:szCs w:val="32"/>
        </w:rPr>
        <w:t>，支出决算为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112.37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决算数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大于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年初预算数的主要原因是：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年初没有预算，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eastAsia="zh-CN"/>
        </w:rPr>
        <w:t>上年结转和年中拨付的重大传染病防控经费。</w:t>
      </w:r>
    </w:p>
    <w:p w14:paraId="7E47413F">
      <w:pPr>
        <w:pStyle w:val="12"/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eastAsia" w:ascii="Times New Roman" w:hAnsi="Times New Roman" w:eastAsia="仿宋_GB2312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卫生健康支出（类）公共卫生（款）突发公共卫生事件应急处理（项）</w:t>
      </w:r>
    </w:p>
    <w:p w14:paraId="0B06D8AA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default" w:ascii="仿宋_GB2312" w:hAnsi="仿宋_GB2312" w:eastAsia="仿宋_GB2312" w:cs="仿宋_GB2312"/>
          <w:color w:val="FF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年初预算为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万元</w:t>
      </w:r>
      <w:r>
        <w:rPr>
          <w:rFonts w:hint="eastAsia" w:ascii="仿宋_GB2312" w:hAnsi="仿宋_GB2312" w:eastAsia="仿宋_GB2312" w:cs="仿宋_GB2312"/>
          <w:sz w:val="32"/>
          <w:szCs w:val="32"/>
        </w:rPr>
        <w:t>，支出决算为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135.29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决算数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大于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年初预算数的主要原因是：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年初没有预算，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eastAsia="zh-CN"/>
        </w:rPr>
        <w:t>上年结转和年中拨付的核酸检测能力提升。</w:t>
      </w:r>
    </w:p>
    <w:p w14:paraId="3485404E">
      <w:pPr>
        <w:pStyle w:val="12"/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eastAsia" w:ascii="Times New Roman" w:hAnsi="Times New Roman" w:eastAsia="仿宋_GB2312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卫生健康支出（类）公共卫生（款）其他公共卫生支出（项）</w:t>
      </w:r>
    </w:p>
    <w:p w14:paraId="3B0344BE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default" w:ascii="仿宋_GB2312" w:hAnsi="仿宋_GB2312" w:eastAsia="仿宋_GB2312" w:cs="仿宋_GB2312"/>
          <w:color w:val="FF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年初预算为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万元，支出决算为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106.04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万元，决算数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大于</w:t>
      </w:r>
      <w:r>
        <w:rPr>
          <w:rFonts w:hint="eastAsia" w:ascii="仿宋_GB2312" w:hAnsi="仿宋_GB2312" w:eastAsia="仿宋_GB2312" w:cs="仿宋_GB2312"/>
          <w:sz w:val="32"/>
          <w:szCs w:val="32"/>
        </w:rPr>
        <w:t>年初预算数的主要原因是：</w:t>
      </w:r>
      <w:r>
        <w:rPr>
          <w:rFonts w:hint="eastAsia" w:ascii="Times New Roman" w:hAnsi="Times New Roman" w:eastAsia="仿宋_GB2312"/>
          <w:sz w:val="32"/>
          <w:szCs w:val="32"/>
        </w:rPr>
        <w:t>年初没有预算，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上年结转和年中拨付的公卫经费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及新生儿耳聋基因免费筛查项目经费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。</w:t>
      </w:r>
    </w:p>
    <w:p w14:paraId="67574E6F">
      <w:pPr>
        <w:pStyle w:val="12"/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eastAsia" w:ascii="Times New Roman" w:hAnsi="Times New Roman" w:eastAsia="仿宋_GB2312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卫生健康支出（类）行政事业单位医疗（款）事业单位医疗（项）</w:t>
      </w:r>
    </w:p>
    <w:p w14:paraId="47C0ABF9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eastAsia" w:ascii="Times New Roman" w:hAnsi="Times New Roman" w:eastAsia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年初预算为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82.2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万元，支出决算为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82.2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万元，决算数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等于</w:t>
      </w:r>
      <w:r>
        <w:rPr>
          <w:rFonts w:hint="eastAsia" w:ascii="仿宋_GB2312" w:hAnsi="仿宋_GB2312" w:eastAsia="仿宋_GB2312" w:cs="仿宋_GB2312"/>
          <w:sz w:val="32"/>
          <w:szCs w:val="32"/>
        </w:rPr>
        <w:t>年初预算数的主要原因是：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财政拨付的在编人员医疗保险，已按时按量缴纳社保。</w:t>
      </w:r>
    </w:p>
    <w:p w14:paraId="6A96971C">
      <w:pPr>
        <w:pStyle w:val="12"/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bidi w:val="0"/>
        <w:snapToGrid/>
        <w:spacing w:line="600" w:lineRule="exact"/>
        <w:ind w:left="0" w:leftChars="0" w:firstLine="800" w:firstLineChars="250"/>
        <w:textAlignment w:val="auto"/>
        <w:rPr>
          <w:rFonts w:hint="eastAsia" w:ascii="Times New Roman" w:hAnsi="Times New Roman" w:eastAsia="仿宋_GB2312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卫生健康支出（类）财政对医疗风险基金的补助（款）中医（民族医）药专项（项）</w:t>
      </w:r>
    </w:p>
    <w:p w14:paraId="41795A91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default" w:ascii="Times New Roman" w:hAnsi="Times New Roman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年初预算为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万元，支出决算为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9.55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万元，决算数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大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于</w:t>
      </w:r>
      <w:r>
        <w:rPr>
          <w:rFonts w:hint="eastAsia" w:ascii="仿宋_GB2312" w:hAnsi="仿宋_GB2312" w:eastAsia="仿宋_GB2312" w:cs="仿宋_GB2312"/>
          <w:sz w:val="32"/>
          <w:szCs w:val="32"/>
        </w:rPr>
        <w:t>年初预算数的主要原因是：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年初没有预算，年中拨付的中医药事业传承与发展资金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。</w:t>
      </w:r>
    </w:p>
    <w:p w14:paraId="35EAC49F">
      <w:pPr>
        <w:pStyle w:val="12"/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eastAsia" w:ascii="Times New Roman" w:hAnsi="Times New Roman" w:eastAsia="仿宋_GB2312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节能环保支出（类）污染防治（款）水体（项）</w:t>
      </w:r>
    </w:p>
    <w:p w14:paraId="2DCB04C6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eastAsia" w:ascii="Times New Roman" w:hAnsi="Times New Roman" w:eastAsia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年初预算为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万元，支出决算为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199.92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万元，决算数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大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于</w:t>
      </w:r>
      <w:r>
        <w:rPr>
          <w:rFonts w:hint="eastAsia" w:ascii="仿宋_GB2312" w:hAnsi="仿宋_GB2312" w:eastAsia="仿宋_GB2312" w:cs="仿宋_GB2312"/>
          <w:sz w:val="32"/>
          <w:szCs w:val="32"/>
        </w:rPr>
        <w:t>年初预算数的主要原因是：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年初没有预算，年中拨付的城市管网及污水处理补助资金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。</w:t>
      </w:r>
    </w:p>
    <w:p w14:paraId="0118AD19">
      <w:pPr>
        <w:pStyle w:val="12"/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eastAsia" w:ascii="Times New Roman" w:hAnsi="Times New Roman" w:eastAsia="仿宋_GB2312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住房保障支出（类）住房改革支出（款）住房公积金（项）</w:t>
      </w:r>
    </w:p>
    <w:p w14:paraId="5DEBAF3D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default" w:ascii="Times New Roman" w:hAnsi="Times New Roman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年初预算为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191.55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万元，支出决算为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177.26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万元，决算数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小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于</w:t>
      </w:r>
      <w:r>
        <w:rPr>
          <w:rFonts w:hint="eastAsia" w:ascii="仿宋_GB2312" w:hAnsi="仿宋_GB2312" w:eastAsia="仿宋_GB2312" w:cs="仿宋_GB2312"/>
          <w:sz w:val="32"/>
          <w:szCs w:val="32"/>
        </w:rPr>
        <w:t>年初预算数的主要原因是：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奖励性绩效未算入公积金基数，公积金有结余。</w:t>
      </w:r>
    </w:p>
    <w:p w14:paraId="16F94365">
      <w:pPr>
        <w:pStyle w:val="12"/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eastAsia" w:ascii="Times New Roman" w:hAnsi="Times New Roman" w:eastAsia="仿宋_GB2312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其他支出（类）其他支出（款）其他支出（项）</w:t>
      </w:r>
    </w:p>
    <w:p w14:paraId="6E1EF88C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eastAsia" w:ascii="Times New Roman" w:hAnsi="Times New Roman" w:eastAsia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年初预算为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226.31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万元，支出决算为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159.18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完成年初预算的70.34%，</w:t>
      </w:r>
      <w:r>
        <w:rPr>
          <w:rFonts w:hint="eastAsia" w:ascii="仿宋_GB2312" w:hAnsi="仿宋_GB2312" w:eastAsia="仿宋_GB2312" w:cs="仿宋_GB2312"/>
          <w:sz w:val="32"/>
          <w:szCs w:val="32"/>
        </w:rPr>
        <w:t>决算数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小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于</w:t>
      </w:r>
      <w:r>
        <w:rPr>
          <w:rFonts w:hint="eastAsia" w:ascii="仿宋_GB2312" w:hAnsi="仿宋_GB2312" w:eastAsia="仿宋_GB2312" w:cs="仿宋_GB2312"/>
          <w:sz w:val="32"/>
          <w:szCs w:val="32"/>
        </w:rPr>
        <w:t>年初预算数的主要原因是：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非税收入返还资金有结余且较年初预算未完全下拨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。</w:t>
      </w:r>
    </w:p>
    <w:p w14:paraId="66E96F61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六、一般公共预算财政拨款基本支出决算情况说明</w:t>
      </w:r>
    </w:p>
    <w:p w14:paraId="39E32F34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年度财政拨款基本支出1780万元，其中：</w:t>
      </w:r>
    </w:p>
    <w:p w14:paraId="730CB453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人员经费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1756.77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万元，占基本支出的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98.69</w:t>
      </w:r>
      <w:r>
        <w:rPr>
          <w:rFonts w:hint="eastAsia" w:ascii="仿宋_GB2312" w:hAnsi="仿宋_GB2312" w:eastAsia="仿宋_GB2312" w:cs="仿宋_GB2312"/>
          <w:sz w:val="32"/>
          <w:szCs w:val="32"/>
        </w:rPr>
        <w:t>%,主要包括基本工资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1100.41万元</w:t>
      </w:r>
      <w:r>
        <w:rPr>
          <w:rFonts w:hint="eastAsia" w:ascii="仿宋_GB2312" w:hAnsi="仿宋_GB2312" w:eastAsia="仿宋_GB2312" w:cs="仿宋_GB2312"/>
          <w:sz w:val="32"/>
          <w:szCs w:val="32"/>
        </w:rPr>
        <w:t>、津贴补贴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5.06万元</w:t>
      </w:r>
      <w:r>
        <w:rPr>
          <w:rFonts w:hint="eastAsia" w:ascii="仿宋_GB2312" w:hAnsi="仿宋_GB2312" w:eastAsia="仿宋_GB2312" w:cs="仿宋_GB2312"/>
          <w:sz w:val="32"/>
          <w:szCs w:val="32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绩效工资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50.4万元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、机关事业单位基本养老保险缴费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227.41万元</w:t>
      </w:r>
      <w:r>
        <w:rPr>
          <w:rFonts w:hint="eastAsia" w:ascii="仿宋_GB2312" w:hAnsi="仿宋_GB2312" w:eastAsia="仿宋_GB2312" w:cs="仿宋_GB2312"/>
          <w:sz w:val="32"/>
          <w:szCs w:val="32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职工基本医疗保险缴费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82.35万元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、住房公积金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177.26万元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、离休费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11.4万元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、退休费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97.16万元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、其他对个人和家庭的补助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5.32万元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284A6F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公用经费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23.23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万元，占基本支出的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1.31</w:t>
      </w:r>
      <w:r>
        <w:rPr>
          <w:rFonts w:hint="eastAsia" w:ascii="仿宋_GB2312" w:hAnsi="仿宋_GB2312" w:eastAsia="仿宋_GB2312" w:cs="仿宋_GB2312"/>
          <w:sz w:val="32"/>
          <w:szCs w:val="32"/>
        </w:rPr>
        <w:t>%，主要包括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工会经费11.63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万元</w:t>
      </w:r>
      <w:r>
        <w:rPr>
          <w:rFonts w:hint="eastAsia" w:ascii="仿宋_GB2312" w:hAnsi="仿宋_GB2312" w:eastAsia="仿宋_GB2312" w:cs="仿宋_GB2312"/>
          <w:sz w:val="32"/>
          <w:szCs w:val="32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福利费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4.59万元、 其他交通费用0.5万元、其他商品和服务支出6.5万元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 w14:paraId="6A7CC93F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七、政府性基金预算收入支出决算情况</w:t>
      </w:r>
    </w:p>
    <w:p w14:paraId="642ABB1A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年度政府性基金预算财政拨款收入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万元；年初结转和结余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万元；支出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万元，其中基本支出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万元，项目支出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万元；年末结转和结余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万元。</w:t>
      </w:r>
    </w:p>
    <w:p w14:paraId="353089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/>
          <w:color w:val="000000"/>
          <w:kern w:val="0"/>
          <w:sz w:val="32"/>
          <w:szCs w:val="32"/>
          <w:lang w:val="en-US" w:eastAsia="zh-CN" w:bidi="ar-SA"/>
        </w:rPr>
        <w:t>八、国有资本经营预算财政拨款支出决算情况</w:t>
      </w:r>
    </w:p>
    <w:p w14:paraId="3680EC59">
      <w:pPr>
        <w:widowControl w:val="0"/>
        <w:autoSpaceDE w:val="0"/>
        <w:autoSpaceDN w:val="0"/>
        <w:adjustRightInd w:val="0"/>
        <w:ind w:firstLine="640" w:firstLineChars="200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-SA"/>
        </w:rPr>
        <w:t>2024年度国有资本经营预算财政拨款收入0万元；年初结转和结余0万；支出0万元，其中：基本支出0万元，项目支出0万元；年末结转和结余0万元。</w:t>
      </w:r>
    </w:p>
    <w:p w14:paraId="1BCD8E9C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ascii="Times New Roman" w:hAnsi="Times New Roman" w:eastAsia="仿宋_GB2312"/>
          <w:b/>
          <w:sz w:val="32"/>
          <w:szCs w:val="32"/>
        </w:rPr>
      </w:pPr>
      <w:r>
        <w:rPr>
          <w:rFonts w:hint="eastAsia" w:hAnsi="黑体" w:cs="黑体"/>
          <w:b w:val="0"/>
          <w:bCs/>
          <w:sz w:val="32"/>
          <w:szCs w:val="32"/>
          <w:lang w:eastAsia="zh-CN"/>
        </w:rPr>
        <w:t>九、</w:t>
      </w:r>
      <w:r>
        <w:rPr>
          <w:rFonts w:hint="eastAsia" w:ascii="黑体" w:hAnsi="黑体" w:eastAsia="黑体" w:cs="黑体"/>
          <w:b w:val="0"/>
          <w:bCs/>
          <w:sz w:val="32"/>
          <w:szCs w:val="32"/>
        </w:rPr>
        <w:t>财政拨款三公经费支出决算情况说明</w:t>
      </w:r>
    </w:p>
    <w:p w14:paraId="6415AD2D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楷体" w:hAnsi="楷体" w:eastAsia="楷体" w:cs="楷体"/>
          <w:b/>
          <w:bCs w:val="0"/>
          <w:sz w:val="32"/>
          <w:szCs w:val="32"/>
        </w:rPr>
      </w:pPr>
      <w:r>
        <w:rPr>
          <w:rFonts w:hint="eastAsia" w:ascii="楷体" w:hAnsi="楷体" w:eastAsia="楷体" w:cs="楷体"/>
          <w:b/>
          <w:bCs w:val="0"/>
          <w:sz w:val="32"/>
          <w:szCs w:val="32"/>
        </w:rPr>
        <w:t>（一）“三公”经费财政拨款支出决算总体情况说明</w:t>
      </w:r>
    </w:p>
    <w:p w14:paraId="71A0EAB9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“三公”经费财政拨款支出预算为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18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万元，支出决算为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4.01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完成预算的22.28%，</w:t>
      </w:r>
      <w:r>
        <w:rPr>
          <w:rFonts w:hint="eastAsia" w:ascii="仿宋_GB2312" w:hAnsi="仿宋_GB2312" w:eastAsia="仿宋_GB2312" w:cs="仿宋_GB2312"/>
          <w:sz w:val="32"/>
          <w:szCs w:val="32"/>
        </w:rPr>
        <w:t>决算数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小</w:t>
      </w:r>
      <w:r>
        <w:rPr>
          <w:rFonts w:hint="eastAsia" w:ascii="仿宋_GB2312" w:hAnsi="仿宋_GB2312" w:eastAsia="仿宋_GB2312" w:cs="仿宋_GB2312"/>
          <w:sz w:val="32"/>
          <w:szCs w:val="32"/>
        </w:rPr>
        <w:t>于预算数的主要原因是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公务用车运行维护费结余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与上年相比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减少9.98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决算数小于上年数的原因是公务用车运行维护费支出小于上年度。</w:t>
      </w:r>
    </w:p>
    <w:p w14:paraId="737AF103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其中：</w:t>
      </w:r>
    </w:p>
    <w:p w14:paraId="7600EE55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因公出国（境）费支出预算为0万元，支出决算为0万元，决算数等于预算数，主要原因是我单位严格按预算执行决算；与上年一致，无增减变动，主要原因是未安排因公出国（境）活动。</w:t>
      </w:r>
    </w:p>
    <w:p w14:paraId="4C0BF1EB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/>
          <w:color w:val="auto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/>
          <w:color w:val="auto"/>
          <w:kern w:val="0"/>
          <w:sz w:val="32"/>
          <w:szCs w:val="32"/>
          <w:lang w:val="en-US" w:eastAsia="zh-CN" w:bidi="ar-SA"/>
        </w:rPr>
        <w:t xml:space="preserve">公务接待费支出预算为0万元，支出决算为0万元，决算数等于预算数，主要原因是严格执行中央八项规定；与上年一致，无增减变动，主要原因是按有关政策厉行节约，严控公务接待支出。 </w:t>
      </w:r>
    </w:p>
    <w:p w14:paraId="71327B27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/>
          <w:color w:val="auto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/>
          <w:color w:val="auto"/>
          <w:kern w:val="0"/>
          <w:sz w:val="32"/>
          <w:szCs w:val="32"/>
          <w:lang w:val="en-US" w:eastAsia="zh-CN" w:bidi="ar-SA"/>
        </w:rPr>
        <w:t>公务用车购置费支出预算为0万元，支出决算为0万元，决算数等于预算数，主要原因是我单位严格按预算执行决算；与上年一致，无增减变动，主要原因是两年均未购置公务用车。</w:t>
      </w:r>
    </w:p>
    <w:p w14:paraId="4F4D1618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公务用车运行维护费支出预算为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18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万元，支出决算为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4.01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万元，完成预算的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22.28</w:t>
      </w:r>
      <w:r>
        <w:rPr>
          <w:rFonts w:hint="eastAsia" w:ascii="仿宋_GB2312" w:hAnsi="仿宋_GB2312" w:eastAsia="仿宋_GB2312" w:cs="仿宋_GB2312"/>
          <w:sz w:val="32"/>
          <w:szCs w:val="32"/>
        </w:rPr>
        <w:t>%，决算数小于预算数的主要原因是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公务用车运行维护费有结余</w:t>
      </w:r>
      <w:r>
        <w:rPr>
          <w:rFonts w:hint="eastAsia" w:ascii="仿宋_GB2312" w:hAnsi="仿宋_GB2312" w:eastAsia="仿宋_GB2312" w:cs="仿宋_GB2312"/>
          <w:sz w:val="32"/>
          <w:szCs w:val="32"/>
        </w:rPr>
        <w:t>，与上年相比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减少9.98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决算数小于上年数的原因是公务用车运行维护费支出小于上年度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 w14:paraId="4A9B5979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楷体" w:hAnsi="楷体" w:eastAsia="楷体" w:cs="楷体"/>
          <w:b/>
          <w:bCs w:val="0"/>
          <w:sz w:val="32"/>
          <w:szCs w:val="32"/>
        </w:rPr>
      </w:pPr>
      <w:r>
        <w:rPr>
          <w:rFonts w:hint="eastAsia" w:ascii="楷体" w:hAnsi="楷体" w:eastAsia="楷体" w:cs="楷体"/>
          <w:b/>
          <w:bCs w:val="0"/>
          <w:sz w:val="32"/>
          <w:szCs w:val="32"/>
        </w:rPr>
        <w:t>（二）“三公”经费财政拨款支出决算具体情况说明</w:t>
      </w:r>
    </w:p>
    <w:p w14:paraId="7C43877E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年度“三公”经费财政拨款支出决算中，公务接待费支出决算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%,因公出国（境）费支出决算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%,公务用车购置费及运行维护费支出决算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4.01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_GB2312" w:eastAsia="仿宋_GB2312" w:cs="仿宋_GB2312"/>
          <w:sz w:val="32"/>
          <w:szCs w:val="32"/>
        </w:rPr>
        <w:t>%。其中：</w:t>
      </w:r>
    </w:p>
    <w:p w14:paraId="55C1F605"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left="-10" w:leftChars="0" w:firstLine="640" w:firstLineChars="0"/>
        <w:textAlignment w:val="auto"/>
        <w:rPr>
          <w:rFonts w:hint="eastAsia" w:ascii="仿宋_GB2312" w:hAnsi="仿宋_GB2312" w:eastAsia="仿宋_GB2312" w:cs="仿宋_GB2312"/>
          <w:b w:val="0"/>
          <w:bCs/>
          <w:color w:val="auto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/>
          <w:color w:val="auto"/>
          <w:kern w:val="0"/>
          <w:sz w:val="32"/>
          <w:szCs w:val="32"/>
          <w:lang w:val="en-US" w:eastAsia="zh-CN" w:bidi="ar-SA"/>
        </w:rPr>
        <w:t xml:space="preserve">因公出国（境）费支出决算为0万元，全年安排因公出国（境）团组0个，累计0人次，我单位2024年度无因公出国（境）费支出。  </w:t>
      </w:r>
    </w:p>
    <w:p w14:paraId="04711BE3"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left="-10" w:leftChars="0" w:firstLine="640" w:firstLineChars="0"/>
        <w:textAlignment w:val="auto"/>
        <w:rPr>
          <w:rFonts w:hint="eastAsia" w:ascii="仿宋_GB2312" w:hAnsi="仿宋_GB2312" w:eastAsia="仿宋_GB2312" w:cs="仿宋_GB2312"/>
          <w:b w:val="0"/>
          <w:bCs/>
          <w:color w:val="auto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/>
          <w:color w:val="auto"/>
          <w:kern w:val="0"/>
          <w:sz w:val="32"/>
          <w:szCs w:val="32"/>
          <w:lang w:val="en-US" w:eastAsia="zh-CN" w:bidi="ar-SA"/>
        </w:rPr>
        <w:t xml:space="preserve">因公出国（境）费支出决算为0万元，全年安排因公出国（境）团组0个，累计0人次，我单位2024年度无因公出国（境）费支出。  </w:t>
      </w:r>
    </w:p>
    <w:p w14:paraId="6DEF161D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3、公务用车购置费及运行维护费支出决算为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4.01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万元，其中：公务用车购置费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当年没有购置公务用车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</w:rPr>
        <w:t>公务用车运行维护费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4.01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万元，主要是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车辆油费、维修费、保险</w:t>
      </w:r>
      <w:r>
        <w:rPr>
          <w:rFonts w:hint="eastAsia" w:ascii="仿宋_GB2312" w:hAnsi="仿宋_GB2312" w:eastAsia="仿宋_GB2312" w:cs="仿宋_GB2312"/>
          <w:sz w:val="32"/>
          <w:szCs w:val="32"/>
        </w:rPr>
        <w:t>支出，截止202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年12月31日，我单位开支财政拨款的公务用车保有量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辆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 w14:paraId="6A6F1721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ascii="Times New Roman" w:hAnsi="Times New Roman" w:eastAsia="仿宋_GB2312"/>
          <w:b/>
          <w:color w:val="auto"/>
          <w:sz w:val="32"/>
          <w:szCs w:val="32"/>
        </w:rPr>
      </w:pPr>
      <w:r>
        <w:rPr>
          <w:rFonts w:hint="eastAsia" w:ascii="Times New Roman" w:hAnsi="Times New Roman" w:eastAsia="仿宋_GB2312"/>
          <w:b/>
          <w:color w:val="auto"/>
          <w:sz w:val="32"/>
          <w:szCs w:val="32"/>
          <w:lang w:eastAsia="zh-CN"/>
        </w:rPr>
        <w:t>十</w:t>
      </w:r>
      <w:r>
        <w:rPr>
          <w:rFonts w:hint="eastAsia" w:ascii="Times New Roman" w:hAnsi="Times New Roman" w:eastAsia="仿宋_GB2312"/>
          <w:b/>
          <w:color w:val="auto"/>
          <w:sz w:val="32"/>
          <w:szCs w:val="32"/>
        </w:rPr>
        <w:t>、关于机关运行经费支出说明</w:t>
      </w:r>
    </w:p>
    <w:p w14:paraId="73FAF7E0">
      <w:pPr>
        <w:pStyle w:val="12"/>
        <w:ind w:firstLine="640" w:firstLineChars="200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本部门202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年度机关运行经费支出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23.23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万元，比上年决算数减少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31.89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万元，降低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57.86</w:t>
      </w:r>
      <w:r>
        <w:rPr>
          <w:rFonts w:hint="eastAsia" w:ascii="仿宋_GB2312" w:hAnsi="仿宋_GB2312" w:eastAsia="仿宋_GB2312" w:cs="仿宋_GB2312"/>
          <w:sz w:val="32"/>
          <w:szCs w:val="32"/>
        </w:rPr>
        <w:t>%。主要原因是：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基本支出缩减了机关运行经费预算，大部分科目未安排预算。</w:t>
      </w:r>
    </w:p>
    <w:p w14:paraId="493275D5">
      <w:pPr>
        <w:pStyle w:val="12"/>
        <w:numPr>
          <w:ilvl w:val="0"/>
          <w:numId w:val="5"/>
        </w:numPr>
        <w:ind w:firstLine="640" w:firstLineChars="200"/>
        <w:jc w:val="both"/>
        <w:rPr>
          <w:rFonts w:hint="eastAsia"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专用材料费今年决算数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0</w:t>
      </w:r>
      <w:r>
        <w:rPr>
          <w:rFonts w:hint="eastAsia" w:ascii="Times New Roman" w:hAnsi="Times New Roman" w:eastAsia="仿宋_GB2312"/>
          <w:sz w:val="32"/>
          <w:szCs w:val="32"/>
        </w:rPr>
        <w:t>万，上年决算数17.16万，减少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17.16</w:t>
      </w:r>
      <w:r>
        <w:rPr>
          <w:rFonts w:hint="eastAsia" w:ascii="Times New Roman" w:hAnsi="Times New Roman" w:eastAsia="仿宋_GB2312"/>
          <w:sz w:val="32"/>
          <w:szCs w:val="32"/>
        </w:rPr>
        <w:t>万元，下降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100</w:t>
      </w:r>
      <w:r>
        <w:rPr>
          <w:rFonts w:hint="eastAsia" w:ascii="Times New Roman" w:hAnsi="Times New Roman" w:eastAsia="仿宋_GB2312"/>
          <w:sz w:val="32"/>
          <w:szCs w:val="32"/>
        </w:rPr>
        <w:t>%，减少的主要原因</w:t>
      </w:r>
      <w:r>
        <w:rPr>
          <w:rFonts w:hint="eastAsia" w:ascii="Times New Roman" w:hAnsi="Times New Roman" w:eastAsia="仿宋_GB2312"/>
          <w:bCs/>
          <w:sz w:val="32"/>
          <w:szCs w:val="32"/>
          <w:lang w:eastAsia="zh-CN"/>
        </w:rPr>
        <w:t>基本支出安排专用材料费的预算减少</w:t>
      </w:r>
      <w:r>
        <w:rPr>
          <w:rFonts w:hint="eastAsia" w:ascii="Times New Roman" w:hAnsi="Times New Roman" w:eastAsia="仿宋_GB2312"/>
          <w:sz w:val="32"/>
          <w:szCs w:val="32"/>
        </w:rPr>
        <w:t>；</w:t>
      </w:r>
    </w:p>
    <w:p w14:paraId="0C30BF5C">
      <w:pPr>
        <w:pStyle w:val="12"/>
        <w:numPr>
          <w:ilvl w:val="0"/>
          <w:numId w:val="5"/>
        </w:numPr>
        <w:ind w:firstLine="640" w:firstLineChars="200"/>
        <w:jc w:val="both"/>
        <w:rPr>
          <w:rFonts w:hint="eastAsia" w:ascii="Times New Roman" w:hAnsi="Times New Roman" w:eastAsia="仿宋_GB2312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bCs/>
          <w:sz w:val="32"/>
          <w:szCs w:val="32"/>
          <w:lang w:eastAsia="zh-CN"/>
        </w:rPr>
        <w:t>工会经费</w:t>
      </w:r>
      <w:r>
        <w:rPr>
          <w:rFonts w:hint="eastAsia" w:ascii="Times New Roman" w:hAnsi="Times New Roman" w:eastAsia="仿宋_GB2312"/>
          <w:sz w:val="32"/>
          <w:szCs w:val="32"/>
        </w:rPr>
        <w:t>今年决算数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11.63</w:t>
      </w:r>
      <w:r>
        <w:rPr>
          <w:rFonts w:hint="eastAsia" w:ascii="Times New Roman" w:hAnsi="Times New Roman" w:eastAsia="仿宋_GB2312"/>
          <w:sz w:val="32"/>
          <w:szCs w:val="32"/>
        </w:rPr>
        <w:t>万，上年决算数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15.89</w:t>
      </w:r>
      <w:r>
        <w:rPr>
          <w:rFonts w:hint="eastAsia" w:ascii="Times New Roman" w:hAnsi="Times New Roman" w:eastAsia="仿宋_GB2312"/>
          <w:sz w:val="32"/>
          <w:szCs w:val="32"/>
        </w:rPr>
        <w:t>万，减少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4.26</w:t>
      </w:r>
      <w:r>
        <w:rPr>
          <w:rFonts w:hint="eastAsia" w:ascii="Times New Roman" w:hAnsi="Times New Roman" w:eastAsia="仿宋_GB2312"/>
          <w:sz w:val="32"/>
          <w:szCs w:val="32"/>
        </w:rPr>
        <w:t>万元，下降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26.81</w:t>
      </w:r>
      <w:r>
        <w:rPr>
          <w:rFonts w:hint="eastAsia" w:ascii="Times New Roman" w:hAnsi="Times New Roman" w:eastAsia="仿宋_GB2312"/>
          <w:sz w:val="32"/>
          <w:szCs w:val="32"/>
        </w:rPr>
        <w:t>%，减少的主要原因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工会经费预算减少</w:t>
      </w:r>
      <w:r>
        <w:rPr>
          <w:rFonts w:hint="eastAsia" w:ascii="Times New Roman" w:hAnsi="Times New Roman" w:eastAsia="仿宋_GB2312"/>
          <w:sz w:val="32"/>
          <w:szCs w:val="32"/>
        </w:rPr>
        <w:t>；</w:t>
      </w:r>
    </w:p>
    <w:p w14:paraId="2DC3ECAF">
      <w:pPr>
        <w:pStyle w:val="12"/>
        <w:numPr>
          <w:ilvl w:val="0"/>
          <w:numId w:val="5"/>
        </w:numPr>
        <w:ind w:left="0" w:leftChars="0" w:firstLine="640" w:firstLineChars="200"/>
        <w:jc w:val="both"/>
        <w:rPr>
          <w:rFonts w:hint="eastAsia" w:ascii="Times New Roman" w:hAnsi="Times New Roman" w:eastAsia="仿宋_GB2312"/>
          <w:bCs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福利费</w:t>
      </w:r>
      <w:r>
        <w:rPr>
          <w:rFonts w:hint="eastAsia" w:ascii="Times New Roman" w:hAnsi="Times New Roman" w:eastAsia="仿宋_GB2312"/>
          <w:sz w:val="32"/>
          <w:szCs w:val="32"/>
        </w:rPr>
        <w:t>今年决算数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4.59</w:t>
      </w:r>
      <w:r>
        <w:rPr>
          <w:rFonts w:hint="eastAsia" w:ascii="Times New Roman" w:hAnsi="Times New Roman" w:eastAsia="仿宋_GB2312"/>
          <w:sz w:val="32"/>
          <w:szCs w:val="32"/>
        </w:rPr>
        <w:t>万，上年决算数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0</w:t>
      </w:r>
      <w:r>
        <w:rPr>
          <w:rFonts w:hint="eastAsia" w:ascii="Times New Roman" w:hAnsi="Times New Roman" w:eastAsia="仿宋_GB2312"/>
          <w:sz w:val="32"/>
          <w:szCs w:val="32"/>
        </w:rPr>
        <w:t>万，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增加</w:t>
      </w:r>
      <w:r>
        <w:rPr>
          <w:rFonts w:hint="eastAsia" w:ascii="Times New Roman" w:hAnsi="Times New Roman" w:eastAsia="仿宋_GB2312"/>
          <w:bCs/>
          <w:sz w:val="32"/>
          <w:szCs w:val="32"/>
          <w:lang w:val="en-US" w:eastAsia="zh-CN"/>
        </w:rPr>
        <w:t>4.59</w:t>
      </w:r>
      <w:r>
        <w:rPr>
          <w:rFonts w:hint="eastAsia" w:ascii="Times New Roman" w:hAnsi="Times New Roman" w:eastAsia="仿宋_GB2312"/>
          <w:bCs/>
          <w:sz w:val="32"/>
          <w:szCs w:val="32"/>
        </w:rPr>
        <w:t>万，</w:t>
      </w:r>
      <w:r>
        <w:rPr>
          <w:rFonts w:hint="eastAsia" w:ascii="Times New Roman" w:hAnsi="Times New Roman" w:eastAsia="仿宋_GB2312"/>
          <w:bCs/>
          <w:sz w:val="32"/>
          <w:szCs w:val="32"/>
          <w:lang w:val="en-US" w:eastAsia="zh-CN"/>
        </w:rPr>
        <w:t>由于上年决算数为0，无法计算增长率，增加的主要原因是因为今年安排了福利费预算</w:t>
      </w:r>
      <w:r>
        <w:rPr>
          <w:rFonts w:hint="eastAsia" w:ascii="Times New Roman" w:hAnsi="Times New Roman" w:eastAsia="仿宋_GB2312"/>
          <w:bCs/>
          <w:sz w:val="32"/>
          <w:szCs w:val="32"/>
          <w:lang w:eastAsia="zh-CN"/>
        </w:rPr>
        <w:t>；</w:t>
      </w:r>
    </w:p>
    <w:p w14:paraId="337C745A">
      <w:pPr>
        <w:pStyle w:val="12"/>
        <w:numPr>
          <w:ilvl w:val="0"/>
          <w:numId w:val="5"/>
        </w:numPr>
        <w:ind w:left="0" w:leftChars="0" w:firstLine="640" w:firstLineChars="200"/>
        <w:jc w:val="both"/>
        <w:rPr>
          <w:rFonts w:hint="default" w:ascii="Times New Roman" w:hAnsi="Times New Roman" w:eastAsia="仿宋_GB2312"/>
          <w:bCs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其他交通费用</w:t>
      </w:r>
      <w:r>
        <w:rPr>
          <w:rFonts w:hint="eastAsia" w:ascii="Times New Roman" w:hAnsi="Times New Roman" w:eastAsia="仿宋_GB2312"/>
          <w:sz w:val="32"/>
          <w:szCs w:val="32"/>
        </w:rPr>
        <w:t>今年决算数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0.5</w:t>
      </w:r>
      <w:r>
        <w:rPr>
          <w:rFonts w:hint="eastAsia" w:ascii="Times New Roman" w:hAnsi="Times New Roman" w:eastAsia="仿宋_GB2312"/>
          <w:sz w:val="32"/>
          <w:szCs w:val="32"/>
        </w:rPr>
        <w:t>万，上年决算数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0</w:t>
      </w:r>
      <w:r>
        <w:rPr>
          <w:rFonts w:hint="eastAsia" w:ascii="Times New Roman" w:hAnsi="Times New Roman" w:eastAsia="仿宋_GB2312"/>
          <w:sz w:val="32"/>
          <w:szCs w:val="32"/>
        </w:rPr>
        <w:t>万，</w:t>
      </w:r>
      <w:r>
        <w:rPr>
          <w:rFonts w:hint="eastAsia" w:ascii="Times New Roman" w:hAnsi="Times New Roman" w:eastAsia="仿宋_GB2312"/>
          <w:bCs/>
          <w:sz w:val="32"/>
          <w:szCs w:val="32"/>
        </w:rPr>
        <w:t>减少</w:t>
      </w:r>
      <w:r>
        <w:rPr>
          <w:rFonts w:hint="eastAsia" w:ascii="Times New Roman" w:hAnsi="Times New Roman" w:eastAsia="仿宋_GB2312"/>
          <w:bCs/>
          <w:sz w:val="32"/>
          <w:szCs w:val="32"/>
          <w:lang w:val="en-US" w:eastAsia="zh-CN"/>
        </w:rPr>
        <w:t>0.5</w:t>
      </w:r>
      <w:r>
        <w:rPr>
          <w:rFonts w:hint="eastAsia" w:ascii="Times New Roman" w:hAnsi="Times New Roman" w:eastAsia="仿宋_GB2312"/>
          <w:bCs/>
          <w:sz w:val="32"/>
          <w:szCs w:val="32"/>
        </w:rPr>
        <w:t>万，</w:t>
      </w:r>
      <w:r>
        <w:rPr>
          <w:rFonts w:hint="eastAsia" w:ascii="Times New Roman" w:hAnsi="Times New Roman" w:eastAsia="仿宋_GB2312"/>
          <w:bCs/>
          <w:sz w:val="32"/>
          <w:szCs w:val="32"/>
          <w:lang w:val="en-US" w:eastAsia="zh-CN"/>
        </w:rPr>
        <w:t>由于上年决算数为0，无法计算增长率，增加的主要原因是因为今年安排了其他交通费用预算</w:t>
      </w:r>
      <w:r>
        <w:rPr>
          <w:rFonts w:hint="eastAsia" w:ascii="Times New Roman" w:hAnsi="Times New Roman" w:eastAsia="仿宋_GB2312"/>
          <w:bCs/>
          <w:sz w:val="32"/>
          <w:szCs w:val="32"/>
          <w:lang w:eastAsia="zh-CN"/>
        </w:rPr>
        <w:t>；</w:t>
      </w:r>
    </w:p>
    <w:p w14:paraId="38890E80">
      <w:pPr>
        <w:pStyle w:val="12"/>
        <w:numPr>
          <w:ilvl w:val="0"/>
          <w:numId w:val="5"/>
        </w:numPr>
        <w:ind w:left="0" w:leftChars="0" w:firstLine="640" w:firstLineChars="200"/>
        <w:jc w:val="both"/>
        <w:rPr>
          <w:rFonts w:hint="eastAsia" w:ascii="Times New Roman" w:hAnsi="Times New Roman" w:eastAsia="仿宋_GB2312"/>
          <w:bCs/>
          <w:color w:val="auto"/>
          <w:sz w:val="32"/>
          <w:szCs w:val="32"/>
        </w:rPr>
      </w:pPr>
      <w:r>
        <w:rPr>
          <w:rFonts w:hint="eastAsia" w:ascii="Times New Roman" w:hAnsi="Times New Roman" w:eastAsia="仿宋_GB2312"/>
          <w:bCs/>
          <w:color w:val="auto"/>
          <w:sz w:val="32"/>
          <w:szCs w:val="32"/>
          <w:lang w:eastAsia="zh-CN"/>
        </w:rPr>
        <w:t>公务用车运行维护费</w:t>
      </w:r>
      <w:r>
        <w:rPr>
          <w:rFonts w:hint="eastAsia" w:ascii="Times New Roman" w:hAnsi="Times New Roman" w:eastAsia="仿宋_GB2312"/>
          <w:bCs/>
          <w:color w:val="auto"/>
          <w:sz w:val="32"/>
          <w:szCs w:val="32"/>
          <w:lang w:val="en-US" w:eastAsia="zh-CN"/>
        </w:rPr>
        <w:t>4.01 万元，上年决算数13.99万元，减少9.98万元，下降71.34%，</w:t>
      </w:r>
      <w:bookmarkStart w:id="0" w:name="_GoBack"/>
      <w:bookmarkEnd w:id="0"/>
      <w:r>
        <w:rPr>
          <w:rFonts w:hint="eastAsia" w:ascii="Times New Roman" w:hAnsi="Times New Roman" w:eastAsia="仿宋_GB2312"/>
          <w:bCs/>
          <w:color w:val="auto"/>
          <w:sz w:val="32"/>
          <w:szCs w:val="32"/>
          <w:lang w:val="en-US" w:eastAsia="zh-CN"/>
        </w:rPr>
        <w:t>减少的主要原因是因为本年度公务用车运行维护费支出减少；</w:t>
      </w:r>
    </w:p>
    <w:p w14:paraId="069D1E69">
      <w:pPr>
        <w:pStyle w:val="12"/>
        <w:ind w:firstLine="640" w:firstLineChars="200"/>
        <w:jc w:val="both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6、其他商品和服务支出今年决算数6.5万，上年决算数8.08万，减少1.58万元，下降19.55%，主要原因是增加了重大传染病和创新平台支出预算。</w:t>
      </w:r>
    </w:p>
    <w:p w14:paraId="065CACD9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十</w:t>
      </w:r>
      <w:r>
        <w:rPr>
          <w:rFonts w:hint="eastAsia" w:hAnsi="黑体" w:cs="黑体"/>
          <w:b w:val="0"/>
          <w:bCs/>
          <w:sz w:val="32"/>
          <w:szCs w:val="32"/>
          <w:lang w:eastAsia="zh-CN"/>
        </w:rPr>
        <w:t>一</w:t>
      </w:r>
      <w:r>
        <w:rPr>
          <w:rFonts w:hint="eastAsia" w:ascii="黑体" w:hAnsi="黑体" w:eastAsia="黑体" w:cs="黑体"/>
          <w:b w:val="0"/>
          <w:bCs/>
          <w:sz w:val="32"/>
          <w:szCs w:val="32"/>
        </w:rPr>
        <w:t>、一般性支出情况说明</w:t>
      </w:r>
    </w:p>
    <w:p w14:paraId="7C8E1FDE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/>
          <w:bCs/>
          <w:i/>
          <w:color w:val="FF0000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本单位无会议费的预算和支出决算数；本单位无培训费的预算和支出决算数；本单位无举办节庆、晚会、论坛、赛事等活动的预算和支出决算数。</w:t>
      </w:r>
    </w:p>
    <w:p w14:paraId="25185A60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十</w:t>
      </w:r>
      <w:r>
        <w:rPr>
          <w:rFonts w:hint="eastAsia" w:hAnsi="黑体" w:cs="黑体"/>
          <w:b w:val="0"/>
          <w:bCs/>
          <w:sz w:val="32"/>
          <w:szCs w:val="32"/>
          <w:lang w:eastAsia="zh-CN"/>
        </w:rPr>
        <w:t>二</w:t>
      </w:r>
      <w:r>
        <w:rPr>
          <w:rFonts w:hint="eastAsia" w:ascii="黑体" w:hAnsi="黑体" w:eastAsia="黑体" w:cs="黑体"/>
          <w:b w:val="0"/>
          <w:bCs/>
          <w:sz w:val="32"/>
          <w:szCs w:val="32"/>
        </w:rPr>
        <w:t>、关于政府采购支出说明</w:t>
      </w:r>
    </w:p>
    <w:p w14:paraId="635C27FE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本部门202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年度政府采购支出总额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3084.51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万元，其中：政府采购货物支出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979.23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万元、政府采购工程支出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141.08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万元、政府采购服务支出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1964.2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万元。授予中小企业合同金额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2911.16</w:t>
      </w:r>
      <w:r>
        <w:rPr>
          <w:rFonts w:hint="eastAsia" w:ascii="仿宋_GB2312" w:hAnsi="仿宋_GB2312" w:eastAsia="仿宋_GB2312" w:cs="仿宋_GB2312"/>
          <w:sz w:val="32"/>
          <w:szCs w:val="32"/>
        </w:rPr>
        <w:t>元，占政府采购支出总额的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94.38</w:t>
      </w:r>
      <w:r>
        <w:rPr>
          <w:rFonts w:hint="eastAsia" w:ascii="仿宋_GB2312" w:hAnsi="仿宋_GB2312" w:eastAsia="仿宋_GB2312" w:cs="仿宋_GB2312"/>
          <w:sz w:val="32"/>
          <w:szCs w:val="32"/>
        </w:rPr>
        <w:t>%，其中：授予小微企业合同金额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684.18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占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授予中小企业合同金额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23.5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%。货物采购授予中小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企业合同金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额占货物支出金额的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35.2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%，工程采购授予中小企业合同金额占工程支出金额的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%，服务采购授予中小企业合同金额占服务支出金额的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97.47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%。</w:t>
      </w:r>
    </w:p>
    <w:p w14:paraId="259F4E90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8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color w:val="auto"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color w:val="auto"/>
          <w:sz w:val="32"/>
          <w:szCs w:val="32"/>
        </w:rPr>
        <w:t>十</w:t>
      </w:r>
      <w:r>
        <w:rPr>
          <w:rFonts w:hint="eastAsia" w:hAnsi="黑体" w:cs="黑体"/>
          <w:b w:val="0"/>
          <w:bCs/>
          <w:color w:val="auto"/>
          <w:sz w:val="32"/>
          <w:szCs w:val="32"/>
          <w:lang w:eastAsia="zh-CN"/>
        </w:rPr>
        <w:t>三</w:t>
      </w:r>
      <w:r>
        <w:rPr>
          <w:rFonts w:hint="eastAsia" w:ascii="黑体" w:hAnsi="黑体" w:eastAsia="黑体" w:cs="黑体"/>
          <w:b w:val="0"/>
          <w:bCs/>
          <w:color w:val="auto"/>
          <w:sz w:val="32"/>
          <w:szCs w:val="32"/>
        </w:rPr>
        <w:t>、关于国有资产占用情况说明</w:t>
      </w:r>
    </w:p>
    <w:p w14:paraId="7EA95598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截至202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年12月31日，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部门（单位）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共有车辆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辆，其中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，副部（省）级及以上领导用车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辆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主要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负责人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用车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辆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机要通信用车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辆、应急保障用车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辆、执法执勤用车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辆、特种专业技术用车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辆、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离退休干部服务用车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辆、其他用车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辆；单位价值100万元以上设备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（不含车辆）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39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台（套）。</w:t>
      </w:r>
    </w:p>
    <w:p w14:paraId="03328BDF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8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color w:val="auto"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color w:val="auto"/>
          <w:sz w:val="32"/>
          <w:szCs w:val="32"/>
        </w:rPr>
        <w:t>十</w:t>
      </w:r>
      <w:r>
        <w:rPr>
          <w:rFonts w:hint="eastAsia" w:hAnsi="黑体" w:cs="黑体"/>
          <w:b w:val="0"/>
          <w:bCs/>
          <w:color w:val="auto"/>
          <w:sz w:val="32"/>
          <w:szCs w:val="32"/>
          <w:lang w:eastAsia="zh-CN"/>
        </w:rPr>
        <w:t>四</w:t>
      </w:r>
      <w:r>
        <w:rPr>
          <w:rFonts w:hint="eastAsia" w:ascii="黑体" w:hAnsi="黑体" w:eastAsia="黑体" w:cs="黑体"/>
          <w:b w:val="0"/>
          <w:bCs/>
          <w:color w:val="auto"/>
          <w:sz w:val="32"/>
          <w:szCs w:val="32"/>
        </w:rPr>
        <w:t>、</w:t>
      </w:r>
      <w:r>
        <w:rPr>
          <w:rFonts w:hint="eastAsia" w:ascii="黑体" w:hAnsi="黑体" w:eastAsia="黑体" w:cs="黑体"/>
          <w:b w:val="0"/>
          <w:bCs/>
          <w:color w:val="auto"/>
          <w:sz w:val="32"/>
          <w:szCs w:val="32"/>
          <w:highlight w:val="none"/>
        </w:rPr>
        <w:t>关于</w:t>
      </w:r>
      <w:r>
        <w:rPr>
          <w:rFonts w:hint="eastAsia" w:ascii="Times New Roman" w:hAnsi="Times New Roman" w:eastAsia="仿宋_GB2312"/>
          <w:color w:val="auto"/>
          <w:sz w:val="32"/>
          <w:szCs w:val="32"/>
          <w:highlight w:val="none"/>
        </w:rPr>
        <w:t>202</w:t>
      </w:r>
      <w:r>
        <w:rPr>
          <w:rFonts w:hint="eastAsia" w:ascii="Times New Roman" w:hAnsi="Times New Roman" w:eastAsia="仿宋_GB2312"/>
          <w:color w:val="auto"/>
          <w:sz w:val="32"/>
          <w:szCs w:val="32"/>
          <w:highlight w:val="none"/>
          <w:lang w:val="en-US" w:eastAsia="zh-CN"/>
        </w:rPr>
        <w:t>4</w:t>
      </w:r>
      <w:r>
        <w:rPr>
          <w:rFonts w:hint="eastAsia" w:ascii="黑体" w:hAnsi="黑体" w:eastAsia="黑体" w:cs="黑体"/>
          <w:b w:val="0"/>
          <w:bCs/>
          <w:color w:val="auto"/>
          <w:sz w:val="32"/>
          <w:szCs w:val="32"/>
          <w:highlight w:val="none"/>
        </w:rPr>
        <w:t>年度</w:t>
      </w:r>
      <w:r>
        <w:rPr>
          <w:rFonts w:hint="eastAsia" w:hAnsi="黑体" w:cs="黑体"/>
          <w:b w:val="0"/>
          <w:bCs/>
          <w:color w:val="auto"/>
          <w:sz w:val="32"/>
          <w:szCs w:val="32"/>
          <w:highlight w:val="none"/>
          <w:lang w:eastAsia="zh-CN"/>
        </w:rPr>
        <w:t>预算</w:t>
      </w:r>
      <w:r>
        <w:rPr>
          <w:rFonts w:hint="eastAsia" w:ascii="黑体" w:hAnsi="黑体" w:eastAsia="黑体" w:cs="黑体"/>
          <w:b w:val="0"/>
          <w:bCs/>
          <w:color w:val="auto"/>
          <w:sz w:val="32"/>
          <w:szCs w:val="32"/>
          <w:highlight w:val="none"/>
        </w:rPr>
        <w:t>绩效</w:t>
      </w:r>
      <w:r>
        <w:rPr>
          <w:rFonts w:hint="eastAsia" w:hAnsi="黑体" w:cs="黑体"/>
          <w:b w:val="0"/>
          <w:bCs/>
          <w:color w:val="auto"/>
          <w:sz w:val="32"/>
          <w:szCs w:val="32"/>
          <w:highlight w:val="none"/>
          <w:lang w:eastAsia="zh-CN"/>
        </w:rPr>
        <w:t>管理</w:t>
      </w:r>
      <w:r>
        <w:rPr>
          <w:rFonts w:hint="eastAsia" w:ascii="黑体" w:hAnsi="黑体" w:eastAsia="黑体" w:cs="黑体"/>
          <w:b w:val="0"/>
          <w:bCs/>
          <w:color w:val="auto"/>
          <w:sz w:val="32"/>
          <w:szCs w:val="32"/>
          <w:highlight w:val="none"/>
        </w:rPr>
        <w:t>情况的说明</w:t>
      </w:r>
    </w:p>
    <w:p w14:paraId="3BE87A56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80" w:lineRule="exact"/>
        <w:ind w:firstLine="640" w:firstLineChars="200"/>
        <w:jc w:val="left"/>
        <w:textAlignment w:val="auto"/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  <w:t>（一）绩效管理工作开展情况</w:t>
      </w:r>
    </w:p>
    <w:p w14:paraId="174982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ascii="Times New Roman" w:hAnsi="Times New Roman" w:eastAsia="仿宋_GB2312" w:cs="Times New Roman"/>
          <w:kern w:val="0"/>
          <w:sz w:val="32"/>
          <w:szCs w:val="32"/>
        </w:rPr>
        <w:t>组织对2024年度本部门整体支出开展绩效自评，涉及项目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23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个，共涉及资金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1302.22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万元。其中，一般公共预算项目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23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个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1302.22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 xml:space="preserve"> 万元，占一般公共预算支出总额的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42.25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%；政府性基金预算项目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0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个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0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万元，占政府性基金预算支出总额的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0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%；国有资本经营预算项目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0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个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0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万元，占国有资本经营预算支出总额的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0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%；</w:t>
      </w:r>
      <w:r>
        <w:rPr>
          <w:rFonts w:ascii="Times New Roman" w:hAnsi="Times New Roman" w:eastAsia="仿宋_GB2312" w:cs="Times New Roman"/>
          <w:kern w:val="0"/>
          <w:sz w:val="32"/>
          <w:szCs w:val="32"/>
          <w:highlight w:val="none"/>
        </w:rPr>
        <w:t>社会保险基金预算项目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ascii="Times New Roman" w:hAnsi="Times New Roman" w:eastAsia="仿宋_GB2312" w:cs="Times New Roman"/>
          <w:kern w:val="0"/>
          <w:sz w:val="32"/>
          <w:szCs w:val="32"/>
          <w:highlight w:val="none"/>
        </w:rPr>
        <w:t>个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ascii="Times New Roman" w:hAnsi="Times New Roman" w:eastAsia="仿宋_GB2312" w:cs="Times New Roman"/>
          <w:kern w:val="0"/>
          <w:sz w:val="32"/>
          <w:szCs w:val="32"/>
          <w:highlight w:val="none"/>
        </w:rPr>
        <w:t>万元，占社会保险基金预算支出总额的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ascii="Times New Roman" w:hAnsi="Times New Roman" w:eastAsia="仿宋_GB2312" w:cs="Times New Roman"/>
          <w:kern w:val="0"/>
          <w:sz w:val="32"/>
          <w:szCs w:val="32"/>
          <w:highlight w:val="none"/>
        </w:rPr>
        <w:t>%。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lang w:val="en-US" w:eastAsia="zh-CN" w:bidi="ar-SA"/>
        </w:rPr>
        <w:t>根据预算绩效管理要求，我们组织对2024年度整体支出和项目资金实施了全覆盖性的绩效评价，撰写了绩效自评报告。</w:t>
      </w:r>
    </w:p>
    <w:p w14:paraId="6FC8205B">
      <w:pPr>
        <w:overflowPunct w:val="0"/>
        <w:spacing w:line="600" w:lineRule="exact"/>
        <w:ind w:firstLine="640" w:firstLineChars="200"/>
        <w:rPr>
          <w:rFonts w:ascii="Times New Roman" w:hAnsi="Times New Roman" w:eastAsia="楷体_GB2312" w:cs="Times New Roman"/>
          <w:b/>
          <w:bCs/>
          <w:sz w:val="32"/>
          <w:szCs w:val="32"/>
        </w:rPr>
      </w:pPr>
      <w:r>
        <w:rPr>
          <w:rFonts w:ascii="Times New Roman" w:hAnsi="Times New Roman" w:eastAsia="楷体_GB2312" w:cs="Times New Roman"/>
          <w:b/>
          <w:bCs/>
          <w:sz w:val="32"/>
          <w:szCs w:val="32"/>
        </w:rPr>
        <w:t>（二）绩效评价结果</w:t>
      </w:r>
    </w:p>
    <w:p w14:paraId="286169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Times New Roman" w:hAnsi="Times New Roman" w:eastAsia="仿宋_GB2312"/>
          <w:color w:val="FF0000"/>
          <w:sz w:val="32"/>
          <w:szCs w:val="32"/>
        </w:rPr>
      </w:pPr>
      <w:r>
        <w:rPr>
          <w:rFonts w:ascii="Times New Roman" w:hAnsi="Times New Roman" w:eastAsia="仿宋_GB2312" w:cs="Times New Roman"/>
          <w:kern w:val="0"/>
          <w:sz w:val="32"/>
          <w:szCs w:val="32"/>
        </w:rPr>
        <w:t>2024年度本部门整体支出</w:t>
      </w:r>
      <w:r>
        <w:rPr>
          <w:rFonts w:ascii="Times New Roman" w:hAnsi="Times New Roman" w:eastAsia="仿宋_GB2312" w:cs="Times New Roman"/>
          <w:sz w:val="32"/>
          <w:szCs w:val="32"/>
        </w:rPr>
        <w:t>全年预算数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36022.97</w:t>
      </w:r>
      <w:r>
        <w:rPr>
          <w:rFonts w:ascii="Times New Roman" w:hAnsi="Times New Roman" w:eastAsia="仿宋_GB2312" w:cs="Times New Roman"/>
          <w:sz w:val="32"/>
          <w:szCs w:val="32"/>
        </w:rPr>
        <w:t>万元，执行数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36287.31</w:t>
      </w:r>
      <w:r>
        <w:rPr>
          <w:rFonts w:ascii="Times New Roman" w:hAnsi="Times New Roman" w:eastAsia="仿宋_GB2312" w:cs="Times New Roman"/>
          <w:sz w:val="32"/>
          <w:szCs w:val="32"/>
        </w:rPr>
        <w:t>万元，完成预算的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100.73</w:t>
      </w:r>
      <w:r>
        <w:rPr>
          <w:rFonts w:ascii="Times New Roman" w:hAnsi="Times New Roman" w:eastAsia="仿宋_GB2312" w:cs="Times New Roman"/>
          <w:sz w:val="32"/>
          <w:szCs w:val="32"/>
        </w:rPr>
        <w:t>%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，绩效自评得分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93.57</w:t>
      </w:r>
      <w:r>
        <w:rPr>
          <w:rFonts w:ascii="Times New Roman" w:hAnsi="Times New Roman" w:eastAsia="仿宋_GB2312" w:cs="Times New Roman"/>
          <w:sz w:val="32"/>
          <w:szCs w:val="32"/>
        </w:rPr>
        <w:t>分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，评价等级为</w:t>
      </w:r>
      <w:r>
        <w:rPr>
          <w:rFonts w:ascii="Times New Roman" w:hAnsi="Times New Roman" w:eastAsia="仿宋_GB2312" w:cs="Times New Roman"/>
          <w:sz w:val="32"/>
          <w:szCs w:val="32"/>
        </w:rPr>
        <w:t>“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优秀</w:t>
      </w:r>
      <w:r>
        <w:rPr>
          <w:rFonts w:ascii="Times New Roman" w:hAnsi="Times New Roman" w:eastAsia="仿宋_GB2312" w:cs="Times New Roman"/>
          <w:sz w:val="32"/>
          <w:szCs w:val="32"/>
        </w:rPr>
        <w:t>”。绩效目标完成情况：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lang w:val="en-US" w:eastAsia="zh-CN" w:bidi="ar-SA"/>
        </w:rPr>
        <w:t>一是四级手术量逐年提高，2024年完成了91台；二是医疗服务质量提升，体现在医疗服务收入占医疗收入的占比提高；三是重点学科数量维持在3个以上；四是及时按量完成了2024年非税上缴任务；五是药占比为14.95%；六是新院搬迁工作，为服务对象提高更好的医疗环境；七是保障医务人员工资性收入，人员支出在40%以上；八是注重环境保护，废物排放未对环境造成负面影响。</w:t>
      </w:r>
      <w:r>
        <w:rPr>
          <w:rFonts w:ascii="Times New Roman" w:hAnsi="Times New Roman" w:eastAsia="仿宋_GB2312" w:cs="Times New Roman"/>
          <w:sz w:val="32"/>
          <w:szCs w:val="32"/>
        </w:rPr>
        <w:t>发现的主要问题及原因：一是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四级手术量未达到逐渐提升</w:t>
      </w:r>
      <w:r>
        <w:rPr>
          <w:rFonts w:ascii="Times New Roman" w:hAnsi="Times New Roman" w:eastAsia="仿宋_GB2312" w:cs="Times New Roman"/>
          <w:sz w:val="32"/>
          <w:szCs w:val="32"/>
        </w:rPr>
        <w:t>；二是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lang w:val="en-US" w:eastAsia="zh-CN" w:bidi="ar-SA"/>
        </w:rPr>
        <w:t>就诊人次增加，但医疗服务收入较上年度增速缓慢</w:t>
      </w:r>
      <w:r>
        <w:rPr>
          <w:rFonts w:ascii="Times New Roman" w:hAnsi="Times New Roman" w:eastAsia="仿宋_GB2312" w:cs="Times New Roman"/>
          <w:sz w:val="32"/>
          <w:szCs w:val="32"/>
        </w:rPr>
        <w:t>。下一步改进措施：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提升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lang w:val="en-US" w:eastAsia="zh-CN" w:bidi="ar-SA"/>
        </w:rPr>
        <w:t>医疗技术，合理安排医务人员进修培训，与医联体密切合作，聘请省市级专家来访指导临床工作</w:t>
      </w:r>
      <w:r>
        <w:rPr>
          <w:rFonts w:ascii="Times New Roman" w:hAnsi="Times New Roman" w:eastAsia="仿宋_GB2312" w:cs="Times New Roman"/>
          <w:sz w:val="32"/>
          <w:szCs w:val="32"/>
        </w:rPr>
        <w:t>。</w:t>
      </w:r>
    </w:p>
    <w:p w14:paraId="728F9CA5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80" w:lineRule="exact"/>
        <w:ind w:firstLine="640" w:firstLineChars="200"/>
        <w:jc w:val="left"/>
        <w:textAlignment w:val="auto"/>
        <w:rPr>
          <w:rFonts w:hint="eastAsia"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  <w:t>（三）</w:t>
      </w:r>
      <w:r>
        <w:rPr>
          <w:rFonts w:hint="eastAsia" w:ascii="楷体" w:hAnsi="楷体" w:eastAsia="楷体" w:cs="楷体"/>
          <w:b/>
          <w:bCs/>
          <w:sz w:val="32"/>
          <w:szCs w:val="32"/>
        </w:rPr>
        <w:t>存在的问题及原因分析</w:t>
      </w:r>
    </w:p>
    <w:p w14:paraId="24D6B016">
      <w:pPr>
        <w:autoSpaceDE w:val="0"/>
        <w:autoSpaceDN w:val="0"/>
        <w:adjustRightInd w:val="0"/>
        <w:ind w:firstLine="640" w:firstLineChars="20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通过绩效评价发现项目资金使用进度缓慢，集中在下半年使用，反映出资金使用率可能偏低，资金支付率与项目实际实施进度不相符的问题。由于项目实施由临床负责，而项目资金由财务管理，跨部门合作未建立良好的沟通反馈渠道，导致资金结余。为了让资金发挥最大效益，下一步措施：加强部门之间的沟通，打破“信息差”，保障资金在整个项目实施过程中及时按量使用。</w:t>
      </w:r>
    </w:p>
    <w:p w14:paraId="04804C60">
      <w:pPr>
        <w:autoSpaceDE w:val="0"/>
        <w:autoSpaceDN w:val="0"/>
        <w:adjustRightInd w:val="0"/>
        <w:ind w:firstLine="640" w:firstLineChars="200"/>
        <w:jc w:val="left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预算绩效管理开展情况、绩效目标和绩效评价报告等，已在市政府部门财政预决算公开平台上向社会公开，详见附件。</w:t>
      </w:r>
    </w:p>
    <w:p w14:paraId="46996567">
      <w:pPr>
        <w:numPr>
          <w:ilvl w:val="0"/>
          <w:numId w:val="0"/>
        </w:numPr>
        <w:autoSpaceDE w:val="0"/>
        <w:autoSpaceDN w:val="0"/>
        <w:adjustRightInd w:val="0"/>
        <w:jc w:val="left"/>
        <w:rPr>
          <w:rFonts w:hint="eastAsia" w:ascii="楷体" w:hAnsi="楷体" w:eastAsia="楷体" w:cs="楷体"/>
          <w:b/>
          <w:bCs/>
          <w:i w:val="0"/>
          <w:iCs w:val="0"/>
          <w:color w:val="FF0000"/>
          <w:kern w:val="0"/>
          <w:sz w:val="36"/>
          <w:szCs w:val="36"/>
          <w:lang w:val="en-US" w:eastAsia="zh-CN"/>
        </w:rPr>
      </w:pPr>
    </w:p>
    <w:p w14:paraId="1C8AB707">
      <w:pPr>
        <w:pStyle w:val="12"/>
        <w:jc w:val="both"/>
        <w:rPr>
          <w:sz w:val="72"/>
          <w:szCs w:val="72"/>
        </w:rPr>
      </w:pPr>
    </w:p>
    <w:p w14:paraId="3F12199F">
      <w:pPr>
        <w:pStyle w:val="12"/>
        <w:jc w:val="both"/>
        <w:rPr>
          <w:rFonts w:hint="eastAsia" w:ascii="方正小标宋_GBK" w:hAnsi="方正小标宋_GBK" w:eastAsia="方正小标宋_GBK" w:cs="方正小标宋_GBK"/>
          <w:sz w:val="72"/>
          <w:szCs w:val="72"/>
        </w:rPr>
      </w:pPr>
    </w:p>
    <w:p w14:paraId="06287B38">
      <w:pPr>
        <w:pStyle w:val="12"/>
        <w:jc w:val="center"/>
        <w:rPr>
          <w:rFonts w:hint="eastAsia" w:ascii="方正小标宋_GBK" w:hAnsi="方正小标宋_GBK" w:eastAsia="方正小标宋_GBK" w:cs="方正小标宋_GBK"/>
          <w:sz w:val="72"/>
          <w:szCs w:val="72"/>
        </w:rPr>
      </w:pPr>
    </w:p>
    <w:p w14:paraId="19D2E4D7">
      <w:pPr>
        <w:pStyle w:val="12"/>
        <w:jc w:val="center"/>
        <w:rPr>
          <w:rFonts w:hint="eastAsia" w:ascii="方正小标宋_GBK" w:hAnsi="方正小标宋_GBK" w:eastAsia="方正小标宋_GBK" w:cs="方正小标宋_GBK"/>
          <w:sz w:val="72"/>
          <w:szCs w:val="72"/>
        </w:rPr>
      </w:pPr>
    </w:p>
    <w:p w14:paraId="529AA41C">
      <w:pPr>
        <w:pStyle w:val="12"/>
        <w:jc w:val="center"/>
        <w:rPr>
          <w:rFonts w:hint="eastAsia" w:ascii="方正小标宋_GBK" w:hAnsi="方正小标宋_GBK" w:eastAsia="方正小标宋_GBK" w:cs="方正小标宋_GBK"/>
          <w:sz w:val="72"/>
          <w:szCs w:val="72"/>
        </w:rPr>
      </w:pPr>
    </w:p>
    <w:p w14:paraId="659DA4E7">
      <w:pPr>
        <w:pStyle w:val="12"/>
        <w:jc w:val="center"/>
        <w:rPr>
          <w:rFonts w:hint="eastAsia" w:ascii="方正小标宋_GBK" w:hAnsi="方正小标宋_GBK" w:eastAsia="方正小标宋_GBK" w:cs="方正小标宋_GBK"/>
          <w:sz w:val="72"/>
          <w:szCs w:val="72"/>
        </w:rPr>
      </w:pPr>
    </w:p>
    <w:p w14:paraId="61567832">
      <w:pPr>
        <w:pStyle w:val="12"/>
        <w:jc w:val="center"/>
        <w:rPr>
          <w:rFonts w:hint="eastAsia" w:ascii="方正小标宋_GBK" w:hAnsi="方正小标宋_GBK" w:eastAsia="方正小标宋_GBK" w:cs="方正小标宋_GBK"/>
          <w:sz w:val="72"/>
          <w:szCs w:val="72"/>
        </w:rPr>
      </w:pPr>
    </w:p>
    <w:p w14:paraId="1DE8061F">
      <w:pPr>
        <w:pStyle w:val="12"/>
        <w:jc w:val="center"/>
        <w:rPr>
          <w:rFonts w:hint="eastAsia" w:ascii="方正小标宋_GBK" w:hAnsi="方正小标宋_GBK" w:eastAsia="方正小标宋_GBK" w:cs="方正小标宋_GBK"/>
          <w:sz w:val="72"/>
          <w:szCs w:val="72"/>
        </w:rPr>
      </w:pPr>
    </w:p>
    <w:p w14:paraId="73594681">
      <w:pPr>
        <w:pStyle w:val="12"/>
        <w:jc w:val="center"/>
        <w:rPr>
          <w:rFonts w:hint="eastAsia" w:ascii="方正小标宋_GBK" w:hAnsi="方正小标宋_GBK" w:eastAsia="方正小标宋_GBK" w:cs="方正小标宋_GBK"/>
          <w:sz w:val="72"/>
          <w:szCs w:val="72"/>
        </w:rPr>
      </w:pPr>
    </w:p>
    <w:p w14:paraId="4B53B914">
      <w:pPr>
        <w:pStyle w:val="12"/>
        <w:jc w:val="center"/>
        <w:rPr>
          <w:rFonts w:hint="eastAsia" w:ascii="方正小标宋_GBK" w:hAnsi="方正小标宋_GBK" w:eastAsia="方正小标宋_GBK" w:cs="方正小标宋_GBK"/>
          <w:sz w:val="72"/>
          <w:szCs w:val="72"/>
        </w:rPr>
      </w:pPr>
    </w:p>
    <w:p w14:paraId="27E9CE40">
      <w:pPr>
        <w:pStyle w:val="12"/>
        <w:jc w:val="center"/>
        <w:rPr>
          <w:rFonts w:hint="eastAsia" w:ascii="方正小标宋_GBK" w:hAnsi="方正小标宋_GBK" w:eastAsia="方正小标宋_GBK" w:cs="方正小标宋_GBK"/>
          <w:sz w:val="72"/>
          <w:szCs w:val="72"/>
        </w:rPr>
      </w:pPr>
    </w:p>
    <w:p w14:paraId="5D136E12">
      <w:pPr>
        <w:pStyle w:val="12"/>
        <w:jc w:val="center"/>
        <w:rPr>
          <w:rFonts w:hint="eastAsia" w:ascii="方正小标宋_GBK" w:hAnsi="方正小标宋_GBK" w:eastAsia="方正小标宋_GBK" w:cs="方正小标宋_GBK"/>
          <w:sz w:val="72"/>
          <w:szCs w:val="72"/>
        </w:rPr>
      </w:pPr>
    </w:p>
    <w:p w14:paraId="5D09E0E1">
      <w:pPr>
        <w:pStyle w:val="12"/>
        <w:jc w:val="center"/>
        <w:rPr>
          <w:rFonts w:hint="eastAsia" w:ascii="方正小标宋_GBK" w:hAnsi="方正小标宋_GBK" w:eastAsia="方正小标宋_GBK" w:cs="方正小标宋_GBK"/>
          <w:sz w:val="72"/>
          <w:szCs w:val="72"/>
        </w:rPr>
      </w:pPr>
    </w:p>
    <w:p w14:paraId="6EA23D94">
      <w:pPr>
        <w:pStyle w:val="12"/>
        <w:jc w:val="center"/>
        <w:rPr>
          <w:rFonts w:hint="eastAsia" w:ascii="方正小标宋_GBK" w:hAnsi="方正小标宋_GBK" w:eastAsia="方正小标宋_GBK" w:cs="方正小标宋_GBK"/>
          <w:sz w:val="72"/>
          <w:szCs w:val="72"/>
        </w:rPr>
      </w:pPr>
      <w:r>
        <w:rPr>
          <w:rFonts w:hint="eastAsia" w:ascii="方正小标宋_GBK" w:hAnsi="方正小标宋_GBK" w:eastAsia="方正小标宋_GBK" w:cs="方正小标宋_GBK"/>
          <w:sz w:val="72"/>
          <w:szCs w:val="72"/>
        </w:rPr>
        <w:t>第四部分</w:t>
      </w:r>
    </w:p>
    <w:p w14:paraId="1B9DAAD2">
      <w:pPr>
        <w:jc w:val="center"/>
        <w:rPr>
          <w:rFonts w:hint="eastAsia" w:ascii="方正小标宋_GBK" w:hAnsi="方正小标宋_GBK" w:eastAsia="方正小标宋_GBK" w:cs="方正小标宋_GBK"/>
          <w:color w:val="000000"/>
          <w:kern w:val="0"/>
          <w:sz w:val="70"/>
          <w:szCs w:val="70"/>
        </w:rPr>
      </w:pPr>
    </w:p>
    <w:p w14:paraId="4D419B4E">
      <w:pPr>
        <w:pStyle w:val="12"/>
        <w:jc w:val="center"/>
        <w:rPr>
          <w:rFonts w:hint="eastAsia" w:ascii="方正小标宋_GBK" w:hAnsi="方正小标宋_GBK" w:eastAsia="方正小标宋_GBK" w:cs="方正小标宋_GBK"/>
          <w:sz w:val="70"/>
          <w:szCs w:val="70"/>
          <w:lang w:eastAsia="zh-CN"/>
        </w:rPr>
      </w:pPr>
      <w:r>
        <w:rPr>
          <w:rFonts w:hint="eastAsia" w:ascii="方正小标宋_GBK" w:hAnsi="方正小标宋_GBK" w:eastAsia="方正小标宋_GBK" w:cs="方正小标宋_GBK"/>
          <w:color w:val="000000"/>
          <w:kern w:val="0"/>
          <w:sz w:val="70"/>
          <w:szCs w:val="70"/>
        </w:rPr>
        <w:t>名词解释</w:t>
      </w:r>
    </w:p>
    <w:p w14:paraId="26B86FC7">
      <w:pPr>
        <w:pStyle w:val="2"/>
      </w:pPr>
    </w:p>
    <w:p w14:paraId="06A9A7D1">
      <w:pPr>
        <w:pStyle w:val="3"/>
      </w:pPr>
    </w:p>
    <w:p w14:paraId="3B243E46"/>
    <w:p w14:paraId="383F57FA">
      <w:pPr>
        <w:pStyle w:val="2"/>
      </w:pPr>
    </w:p>
    <w:p w14:paraId="7AB6288C">
      <w:pPr>
        <w:pStyle w:val="3"/>
      </w:pPr>
    </w:p>
    <w:p w14:paraId="578F8961"/>
    <w:p w14:paraId="3C1C4FD5">
      <w:pPr>
        <w:pStyle w:val="2"/>
      </w:pPr>
    </w:p>
    <w:p w14:paraId="6B923371">
      <w:pPr>
        <w:pStyle w:val="3"/>
      </w:pPr>
    </w:p>
    <w:p w14:paraId="26B6192D"/>
    <w:p w14:paraId="06BC4DAE">
      <w:pPr>
        <w:pStyle w:val="2"/>
      </w:pPr>
    </w:p>
    <w:p w14:paraId="669020D5">
      <w:pPr>
        <w:pStyle w:val="3"/>
      </w:pPr>
    </w:p>
    <w:p w14:paraId="55185918"/>
    <w:p w14:paraId="45656630">
      <w:pPr>
        <w:pStyle w:val="2"/>
      </w:pPr>
    </w:p>
    <w:p w14:paraId="27487E17">
      <w:pPr>
        <w:pStyle w:val="3"/>
      </w:pPr>
    </w:p>
    <w:p w14:paraId="72FE38E9">
      <w:pPr>
        <w:pStyle w:val="2"/>
      </w:pPr>
    </w:p>
    <w:p w14:paraId="38B68A94"/>
    <w:p w14:paraId="477B2A6D">
      <w:pPr>
        <w:pStyle w:val="2"/>
      </w:pPr>
    </w:p>
    <w:p w14:paraId="5DADFFFF">
      <w:pPr>
        <w:ind w:firstLine="640" w:firstLineChars="200"/>
        <w:jc w:val="left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</w:p>
    <w:p w14:paraId="21A28E14">
      <w:pPr>
        <w:ind w:firstLine="640" w:firstLineChars="200"/>
        <w:jc w:val="left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</w:p>
    <w:p w14:paraId="35CB5449">
      <w:pPr>
        <w:ind w:firstLine="640" w:firstLineChars="200"/>
        <w:jc w:val="left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一、“三公”经费：指用财政拨款安排的因公出国（境）费、公务用车购置及运行费和公务接待费。其中，因公出国（境）费反映出国（境）的住宿费、旅费、伙食补助费、杂费、培训费等支出；公务用车购置及运行费反映单位公务用车购置费及租用费、燃料费、维修费、过路过桥费、保险费、安全奖励费用等支出；公务接待费反映单位按规定开支的各类公务接待（含外宾接待）支出。</w:t>
      </w:r>
    </w:p>
    <w:p w14:paraId="25F75FC2">
      <w:pPr>
        <w:ind w:firstLine="640" w:firstLineChars="200"/>
        <w:jc w:val="left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二、机关运行经费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eastAsia="zh-CN"/>
        </w:rPr>
        <w:t>，指为保障行政单位（包括参照公务员法管理的事业单位）运行用于购买货物和服务的各项资金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，包括办公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eastAsia="zh-CN"/>
        </w:rPr>
        <w:t>费、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印刷费、邮电费、差旅费、会议费、日常维修费、专用材料及一般设备购置费、办公用房水电费、办公用房取暖费、办公用房物业管理费、公务用车运行维护费以及其他费用。</w:t>
      </w:r>
    </w:p>
    <w:p w14:paraId="1403E4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/>
          <w:bCs/>
          <w:i/>
          <w:color w:val="FF0000"/>
          <w:kern w:val="0"/>
          <w:sz w:val="32"/>
          <w:szCs w:val="32"/>
          <w:lang w:val="en-US" w:eastAsia="zh-CN" w:bidi="ar-SA"/>
        </w:rPr>
      </w:pPr>
    </w:p>
    <w:p w14:paraId="017B4405">
      <w:pPr>
        <w:pStyle w:val="12"/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4F41CD9B">
      <w:pPr>
        <w:pStyle w:val="3"/>
      </w:pPr>
    </w:p>
    <w:p w14:paraId="52F8F129"/>
    <w:p w14:paraId="1B18DCFD">
      <w:pPr>
        <w:pStyle w:val="2"/>
      </w:pPr>
    </w:p>
    <w:p w14:paraId="22C7AF81">
      <w:pPr>
        <w:pStyle w:val="3"/>
      </w:pPr>
    </w:p>
    <w:p w14:paraId="57FD2FCA"/>
    <w:p w14:paraId="7CF393BB">
      <w:pPr>
        <w:pStyle w:val="2"/>
      </w:pPr>
    </w:p>
    <w:p w14:paraId="7C7B06C8">
      <w:pPr>
        <w:pStyle w:val="3"/>
      </w:pPr>
    </w:p>
    <w:p w14:paraId="05F00B96"/>
    <w:p w14:paraId="5B3B9568">
      <w:pPr>
        <w:pStyle w:val="2"/>
      </w:pPr>
    </w:p>
    <w:p w14:paraId="6D934E07">
      <w:pPr>
        <w:pStyle w:val="3"/>
      </w:pPr>
    </w:p>
    <w:p w14:paraId="23256F7D"/>
    <w:p w14:paraId="718133CB">
      <w:pPr>
        <w:pStyle w:val="2"/>
      </w:pPr>
    </w:p>
    <w:p w14:paraId="26DCC594">
      <w:pPr>
        <w:pStyle w:val="3"/>
      </w:pPr>
    </w:p>
    <w:p w14:paraId="4AEAEB10"/>
    <w:p w14:paraId="555D50C9">
      <w:pPr>
        <w:pStyle w:val="2"/>
      </w:pPr>
    </w:p>
    <w:p w14:paraId="79086FFF">
      <w:pPr>
        <w:pStyle w:val="3"/>
      </w:pPr>
    </w:p>
    <w:p w14:paraId="1D6C0EFA">
      <w:pPr>
        <w:pStyle w:val="12"/>
        <w:jc w:val="center"/>
        <w:rPr>
          <w:rFonts w:hint="eastAsia" w:ascii="方正小标宋_GBK" w:hAnsi="方正小标宋_GBK" w:eastAsia="方正小标宋_GBK" w:cs="方正小标宋_GBK"/>
          <w:sz w:val="72"/>
          <w:szCs w:val="72"/>
        </w:rPr>
      </w:pPr>
    </w:p>
    <w:p w14:paraId="0158FC4A">
      <w:pPr>
        <w:pStyle w:val="12"/>
        <w:jc w:val="center"/>
        <w:rPr>
          <w:rFonts w:hint="eastAsia" w:ascii="方正小标宋_GBK" w:hAnsi="方正小标宋_GBK" w:eastAsia="方正小标宋_GBK" w:cs="方正小标宋_GBK"/>
          <w:sz w:val="72"/>
          <w:szCs w:val="72"/>
        </w:rPr>
      </w:pPr>
    </w:p>
    <w:p w14:paraId="4BBD3514">
      <w:pPr>
        <w:pStyle w:val="12"/>
        <w:jc w:val="center"/>
        <w:rPr>
          <w:rFonts w:hint="eastAsia" w:ascii="方正小标宋_GBK" w:hAnsi="方正小标宋_GBK" w:eastAsia="方正小标宋_GBK" w:cs="方正小标宋_GBK"/>
          <w:sz w:val="72"/>
          <w:szCs w:val="72"/>
        </w:rPr>
      </w:pPr>
    </w:p>
    <w:p w14:paraId="36AD1FEC">
      <w:pPr>
        <w:pStyle w:val="12"/>
        <w:jc w:val="center"/>
        <w:rPr>
          <w:rFonts w:hint="eastAsia" w:ascii="方正小标宋_GBK" w:hAnsi="方正小标宋_GBK" w:eastAsia="方正小标宋_GBK" w:cs="方正小标宋_GBK"/>
          <w:sz w:val="72"/>
          <w:szCs w:val="72"/>
        </w:rPr>
      </w:pPr>
    </w:p>
    <w:p w14:paraId="52D95B77">
      <w:pPr>
        <w:pStyle w:val="12"/>
        <w:jc w:val="center"/>
        <w:rPr>
          <w:rFonts w:hint="eastAsia" w:ascii="方正小标宋_GBK" w:hAnsi="方正小标宋_GBK" w:eastAsia="方正小标宋_GBK" w:cs="方正小标宋_GBK"/>
          <w:sz w:val="70"/>
          <w:szCs w:val="70"/>
        </w:rPr>
      </w:pPr>
      <w:r>
        <w:rPr>
          <w:rFonts w:hint="eastAsia" w:ascii="方正小标宋_GBK" w:hAnsi="方正小标宋_GBK" w:eastAsia="方正小标宋_GBK" w:cs="方正小标宋_GBK"/>
          <w:sz w:val="72"/>
          <w:szCs w:val="72"/>
        </w:rPr>
        <w:t>第</w:t>
      </w:r>
      <w:r>
        <w:rPr>
          <w:rFonts w:hint="eastAsia" w:ascii="方正小标宋_GBK" w:hAnsi="方正小标宋_GBK" w:eastAsia="方正小标宋_GBK" w:cs="方正小标宋_GBK"/>
          <w:sz w:val="72"/>
          <w:szCs w:val="72"/>
          <w:lang w:eastAsia="zh-CN"/>
        </w:rPr>
        <w:t>五</w:t>
      </w:r>
      <w:r>
        <w:rPr>
          <w:rFonts w:hint="eastAsia" w:ascii="方正小标宋_GBK" w:hAnsi="方正小标宋_GBK" w:eastAsia="方正小标宋_GBK" w:cs="方正小标宋_GBK"/>
          <w:sz w:val="72"/>
          <w:szCs w:val="72"/>
        </w:rPr>
        <w:t>部分</w:t>
      </w:r>
    </w:p>
    <w:p w14:paraId="40E5F463">
      <w:pPr>
        <w:pStyle w:val="12"/>
        <w:jc w:val="both"/>
        <w:rPr>
          <w:rFonts w:hint="eastAsia" w:ascii="方正小标宋_GBK" w:hAnsi="方正小标宋_GBK" w:eastAsia="方正小标宋_GBK" w:cs="方正小标宋_GBK"/>
          <w:sz w:val="70"/>
          <w:szCs w:val="70"/>
          <w:lang w:eastAsia="zh-CN"/>
        </w:rPr>
      </w:pPr>
    </w:p>
    <w:p w14:paraId="70A8C812">
      <w:pPr>
        <w:pStyle w:val="12"/>
        <w:jc w:val="center"/>
        <w:rPr>
          <w:rFonts w:hint="eastAsia" w:ascii="方正小标宋_GBK" w:hAnsi="方正小标宋_GBK" w:eastAsia="方正小标宋_GBK" w:cs="方正小标宋_GBK"/>
          <w:sz w:val="70"/>
          <w:szCs w:val="70"/>
          <w:lang w:eastAsia="zh-CN"/>
        </w:rPr>
      </w:pPr>
      <w:r>
        <w:rPr>
          <w:rFonts w:hint="eastAsia" w:ascii="方正小标宋_GBK" w:hAnsi="方正小标宋_GBK" w:eastAsia="方正小标宋_GBK" w:cs="方正小标宋_GBK"/>
          <w:sz w:val="70"/>
          <w:szCs w:val="70"/>
          <w:lang w:eastAsia="zh-CN"/>
        </w:rPr>
        <w:t>附</w:t>
      </w:r>
      <w:r>
        <w:rPr>
          <w:rFonts w:hint="eastAsia" w:ascii="方正小标宋_GBK" w:hAnsi="方正小标宋_GBK" w:eastAsia="方正小标宋_GBK" w:cs="方正小标宋_GBK"/>
          <w:sz w:val="70"/>
          <w:szCs w:val="70"/>
          <w:lang w:val="en-US" w:eastAsia="zh-CN"/>
        </w:rPr>
        <w:t xml:space="preserve"> </w:t>
      </w:r>
      <w:r>
        <w:rPr>
          <w:rFonts w:hint="eastAsia" w:ascii="方正小标宋_GBK" w:hAnsi="方正小标宋_GBK" w:eastAsia="方正小标宋_GBK" w:cs="方正小标宋_GBK"/>
          <w:sz w:val="70"/>
          <w:szCs w:val="70"/>
          <w:lang w:eastAsia="zh-CN"/>
        </w:rPr>
        <w:t>件</w:t>
      </w:r>
    </w:p>
    <w:p w14:paraId="22036CDA">
      <w:pPr>
        <w:ind w:firstLine="640" w:firstLineChars="200"/>
        <w:jc w:val="left"/>
        <w:rPr>
          <w:rFonts w:hint="eastAsia" w:ascii="宋体" w:hAnsi="宋体" w:eastAsia="宋体" w:cs="黑体"/>
          <w:b/>
          <w:color w:val="000000"/>
          <w:kern w:val="0"/>
          <w:sz w:val="32"/>
          <w:szCs w:val="32"/>
          <w:lang w:val="en-US" w:eastAsia="zh-CN"/>
        </w:rPr>
      </w:pPr>
    </w:p>
    <w:p w14:paraId="6400D8A0">
      <w:pPr>
        <w:ind w:firstLine="640" w:firstLineChars="200"/>
        <w:jc w:val="left"/>
        <w:rPr>
          <w:rFonts w:hint="eastAsia" w:ascii="宋体" w:hAnsi="宋体" w:eastAsia="宋体" w:cs="黑体"/>
          <w:b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宋体" w:hAnsi="宋体" w:eastAsia="宋体" w:cs="黑体"/>
          <w:b/>
          <w:color w:val="000000"/>
          <w:kern w:val="0"/>
          <w:sz w:val="32"/>
          <w:szCs w:val="32"/>
          <w:lang w:val="en-US" w:eastAsia="zh-CN"/>
        </w:rPr>
        <w:t>1、2024年部门决算公开表格</w:t>
      </w:r>
    </w:p>
    <w:p w14:paraId="40A06E54">
      <w:pPr>
        <w:ind w:firstLine="640" w:firstLineChars="200"/>
        <w:jc w:val="left"/>
        <w:rPr>
          <w:rFonts w:ascii="宋体" w:hAnsi="宋体" w:eastAsia="宋体" w:cs="黑体"/>
          <w:color w:val="000000"/>
          <w:kern w:val="0"/>
          <w:sz w:val="32"/>
          <w:szCs w:val="32"/>
        </w:rPr>
      </w:pPr>
      <w:r>
        <w:rPr>
          <w:rFonts w:hint="eastAsia" w:ascii="宋体" w:hAnsi="宋体" w:eastAsia="宋体" w:cs="黑体"/>
          <w:b/>
          <w:color w:val="000000"/>
          <w:kern w:val="0"/>
          <w:sz w:val="32"/>
          <w:szCs w:val="32"/>
          <w:lang w:val="en-US" w:eastAsia="zh-CN"/>
        </w:rPr>
        <w:t>2、</w:t>
      </w:r>
      <w:r>
        <w:rPr>
          <w:rFonts w:hint="eastAsia" w:ascii="宋体" w:hAnsi="宋体" w:eastAsia="宋体" w:cs="黑体"/>
          <w:b/>
          <w:color w:val="000000"/>
          <w:kern w:val="0"/>
          <w:sz w:val="32"/>
          <w:szCs w:val="32"/>
        </w:rPr>
        <w:t>202</w:t>
      </w:r>
      <w:r>
        <w:rPr>
          <w:rFonts w:hint="eastAsia" w:ascii="宋体" w:hAnsi="宋体" w:eastAsia="宋体" w:cs="黑体"/>
          <w:b/>
          <w:color w:val="000000"/>
          <w:kern w:val="0"/>
          <w:sz w:val="32"/>
          <w:szCs w:val="32"/>
          <w:lang w:val="en-US" w:eastAsia="zh-CN"/>
        </w:rPr>
        <w:t>4</w:t>
      </w:r>
      <w:r>
        <w:rPr>
          <w:rFonts w:hint="eastAsia" w:ascii="宋体" w:hAnsi="宋体" w:eastAsia="宋体" w:cs="黑体"/>
          <w:b/>
          <w:color w:val="000000"/>
          <w:kern w:val="0"/>
          <w:sz w:val="32"/>
          <w:szCs w:val="32"/>
        </w:rPr>
        <w:t>年度部门整体支出绩效评价报告</w:t>
      </w:r>
    </w:p>
    <w:p w14:paraId="13C28E64"/>
    <w:sectPr>
      <w:pgSz w:w="11906" w:h="16838"/>
      <w:pgMar w:top="720" w:right="720" w:bottom="720" w:left="720" w:header="851" w:footer="992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E374155"/>
    <w:multiLevelType w:val="singleLevel"/>
    <w:tmpl w:val="CE374155"/>
    <w:lvl w:ilvl="0" w:tentative="0">
      <w:start w:val="1"/>
      <w:numFmt w:val="decimal"/>
      <w:suff w:val="nothing"/>
      <w:lvlText w:val="%1、"/>
      <w:lvlJc w:val="left"/>
      <w:pPr>
        <w:ind w:left="-10"/>
      </w:pPr>
      <w:rPr>
        <w:rFonts w:hint="default"/>
        <w:color w:val="auto"/>
      </w:rPr>
    </w:lvl>
  </w:abstractNum>
  <w:abstractNum w:abstractNumId="1">
    <w:nsid w:val="F5864A22"/>
    <w:multiLevelType w:val="singleLevel"/>
    <w:tmpl w:val="F5864A22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1B6CB85F"/>
    <w:multiLevelType w:val="singleLevel"/>
    <w:tmpl w:val="1B6CB85F"/>
    <w:lvl w:ilvl="0" w:tentative="0">
      <w:start w:val="3"/>
      <w:numFmt w:val="decimal"/>
      <w:suff w:val="nothing"/>
      <w:lvlText w:val="%1、"/>
      <w:lvlJc w:val="left"/>
    </w:lvl>
  </w:abstractNum>
  <w:abstractNum w:abstractNumId="3">
    <w:nsid w:val="373518C1"/>
    <w:multiLevelType w:val="multilevel"/>
    <w:tmpl w:val="373518C1"/>
    <w:lvl w:ilvl="0" w:tentative="0">
      <w:start w:val="1"/>
      <w:numFmt w:val="none"/>
      <w:lvlText w:val="一、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72323435"/>
    <w:multiLevelType w:val="singleLevel"/>
    <w:tmpl w:val="72323435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06F9"/>
    <w:rsid w:val="0002229B"/>
    <w:rsid w:val="000273BD"/>
    <w:rsid w:val="00040CBC"/>
    <w:rsid w:val="000415B7"/>
    <w:rsid w:val="00041E3F"/>
    <w:rsid w:val="00055DAA"/>
    <w:rsid w:val="00061F7B"/>
    <w:rsid w:val="000658A3"/>
    <w:rsid w:val="00074155"/>
    <w:rsid w:val="000A3F69"/>
    <w:rsid w:val="00103957"/>
    <w:rsid w:val="00152C6D"/>
    <w:rsid w:val="00162D39"/>
    <w:rsid w:val="001678BD"/>
    <w:rsid w:val="00182373"/>
    <w:rsid w:val="001A67DB"/>
    <w:rsid w:val="001C3C29"/>
    <w:rsid w:val="001D51E5"/>
    <w:rsid w:val="001E080D"/>
    <w:rsid w:val="001E53D0"/>
    <w:rsid w:val="001F0C3B"/>
    <w:rsid w:val="00202C82"/>
    <w:rsid w:val="00214427"/>
    <w:rsid w:val="00226CB7"/>
    <w:rsid w:val="00264552"/>
    <w:rsid w:val="00264EF9"/>
    <w:rsid w:val="00265724"/>
    <w:rsid w:val="0027426B"/>
    <w:rsid w:val="002E0A30"/>
    <w:rsid w:val="003130C4"/>
    <w:rsid w:val="00316C4B"/>
    <w:rsid w:val="0032192B"/>
    <w:rsid w:val="003479BD"/>
    <w:rsid w:val="0037197D"/>
    <w:rsid w:val="003768D5"/>
    <w:rsid w:val="003926B9"/>
    <w:rsid w:val="003C47E6"/>
    <w:rsid w:val="003C4FC2"/>
    <w:rsid w:val="00416E61"/>
    <w:rsid w:val="0042790C"/>
    <w:rsid w:val="004506F9"/>
    <w:rsid w:val="004717A2"/>
    <w:rsid w:val="00473DF3"/>
    <w:rsid w:val="00487911"/>
    <w:rsid w:val="00491741"/>
    <w:rsid w:val="004B0CEE"/>
    <w:rsid w:val="00500E5F"/>
    <w:rsid w:val="005122EF"/>
    <w:rsid w:val="0051441A"/>
    <w:rsid w:val="00517C33"/>
    <w:rsid w:val="00517D5F"/>
    <w:rsid w:val="00523644"/>
    <w:rsid w:val="0054069E"/>
    <w:rsid w:val="00544866"/>
    <w:rsid w:val="005767CC"/>
    <w:rsid w:val="00590D9F"/>
    <w:rsid w:val="00595D26"/>
    <w:rsid w:val="005A74E6"/>
    <w:rsid w:val="005B404E"/>
    <w:rsid w:val="005D4D55"/>
    <w:rsid w:val="005E2CFB"/>
    <w:rsid w:val="005F2103"/>
    <w:rsid w:val="005F3D1C"/>
    <w:rsid w:val="0062378F"/>
    <w:rsid w:val="00641842"/>
    <w:rsid w:val="00651EEC"/>
    <w:rsid w:val="00686673"/>
    <w:rsid w:val="00691E8C"/>
    <w:rsid w:val="006A22C4"/>
    <w:rsid w:val="006A351B"/>
    <w:rsid w:val="006B0422"/>
    <w:rsid w:val="006C1B53"/>
    <w:rsid w:val="006D7730"/>
    <w:rsid w:val="006E5284"/>
    <w:rsid w:val="006F3EB5"/>
    <w:rsid w:val="00702E34"/>
    <w:rsid w:val="00704395"/>
    <w:rsid w:val="00710FE7"/>
    <w:rsid w:val="00717621"/>
    <w:rsid w:val="00720FF1"/>
    <w:rsid w:val="00727A53"/>
    <w:rsid w:val="00787B42"/>
    <w:rsid w:val="007C4539"/>
    <w:rsid w:val="007F3657"/>
    <w:rsid w:val="00812ED5"/>
    <w:rsid w:val="008277D9"/>
    <w:rsid w:val="0084478C"/>
    <w:rsid w:val="0086638C"/>
    <w:rsid w:val="008A3E8D"/>
    <w:rsid w:val="009237C4"/>
    <w:rsid w:val="00944C48"/>
    <w:rsid w:val="00950252"/>
    <w:rsid w:val="00967F5D"/>
    <w:rsid w:val="009A0F95"/>
    <w:rsid w:val="009B3ADF"/>
    <w:rsid w:val="009C3B52"/>
    <w:rsid w:val="009E6817"/>
    <w:rsid w:val="009E6E9A"/>
    <w:rsid w:val="00A01D2B"/>
    <w:rsid w:val="00A42218"/>
    <w:rsid w:val="00A70249"/>
    <w:rsid w:val="00A70B02"/>
    <w:rsid w:val="00A71D9F"/>
    <w:rsid w:val="00A92E9F"/>
    <w:rsid w:val="00AB18FF"/>
    <w:rsid w:val="00B33BEA"/>
    <w:rsid w:val="00B57C9F"/>
    <w:rsid w:val="00B63572"/>
    <w:rsid w:val="00B845B3"/>
    <w:rsid w:val="00B85D8B"/>
    <w:rsid w:val="00BB4A40"/>
    <w:rsid w:val="00BD6C3E"/>
    <w:rsid w:val="00BE3674"/>
    <w:rsid w:val="00C10681"/>
    <w:rsid w:val="00C3049A"/>
    <w:rsid w:val="00C31B1E"/>
    <w:rsid w:val="00C77645"/>
    <w:rsid w:val="00CE04C3"/>
    <w:rsid w:val="00CE76A0"/>
    <w:rsid w:val="00D148C6"/>
    <w:rsid w:val="00D17A8A"/>
    <w:rsid w:val="00D415BA"/>
    <w:rsid w:val="00D63780"/>
    <w:rsid w:val="00D644EE"/>
    <w:rsid w:val="00DD06FF"/>
    <w:rsid w:val="00DD5FE9"/>
    <w:rsid w:val="00E00C7A"/>
    <w:rsid w:val="00E37D6C"/>
    <w:rsid w:val="00E55B68"/>
    <w:rsid w:val="00E561AE"/>
    <w:rsid w:val="00E67BE6"/>
    <w:rsid w:val="00E8683C"/>
    <w:rsid w:val="00EA2B72"/>
    <w:rsid w:val="00F74360"/>
    <w:rsid w:val="00FB462F"/>
    <w:rsid w:val="00FE16FA"/>
    <w:rsid w:val="00FE328A"/>
    <w:rsid w:val="00FE6269"/>
    <w:rsid w:val="00FF5CD6"/>
    <w:rsid w:val="01E46029"/>
    <w:rsid w:val="020539FB"/>
    <w:rsid w:val="02071A61"/>
    <w:rsid w:val="030C3556"/>
    <w:rsid w:val="043D4E77"/>
    <w:rsid w:val="04F4673E"/>
    <w:rsid w:val="05080E89"/>
    <w:rsid w:val="059958AD"/>
    <w:rsid w:val="05FE4F54"/>
    <w:rsid w:val="06FA6082"/>
    <w:rsid w:val="06FE229C"/>
    <w:rsid w:val="0738697C"/>
    <w:rsid w:val="09CB300D"/>
    <w:rsid w:val="0A3D2805"/>
    <w:rsid w:val="0ACF3DEB"/>
    <w:rsid w:val="0B6401BF"/>
    <w:rsid w:val="0BD61E90"/>
    <w:rsid w:val="0C32700E"/>
    <w:rsid w:val="0CB27F3A"/>
    <w:rsid w:val="0DA711A4"/>
    <w:rsid w:val="0F927274"/>
    <w:rsid w:val="107C4949"/>
    <w:rsid w:val="11A51879"/>
    <w:rsid w:val="122A0394"/>
    <w:rsid w:val="12583BA5"/>
    <w:rsid w:val="13BA5B9C"/>
    <w:rsid w:val="14C0309A"/>
    <w:rsid w:val="156B642A"/>
    <w:rsid w:val="157405BF"/>
    <w:rsid w:val="15A577C4"/>
    <w:rsid w:val="16F41D35"/>
    <w:rsid w:val="17256E13"/>
    <w:rsid w:val="175C68BA"/>
    <w:rsid w:val="17767A73"/>
    <w:rsid w:val="1A7F18ED"/>
    <w:rsid w:val="1B197114"/>
    <w:rsid w:val="1B7E43A7"/>
    <w:rsid w:val="1C9D073B"/>
    <w:rsid w:val="1D97DEFF"/>
    <w:rsid w:val="1DE75A9B"/>
    <w:rsid w:val="1DFF72E5"/>
    <w:rsid w:val="1EFC6F07"/>
    <w:rsid w:val="22046BDF"/>
    <w:rsid w:val="223A7FB3"/>
    <w:rsid w:val="22572406"/>
    <w:rsid w:val="22AC03C2"/>
    <w:rsid w:val="231D2AC2"/>
    <w:rsid w:val="2378543C"/>
    <w:rsid w:val="24983315"/>
    <w:rsid w:val="24E472F0"/>
    <w:rsid w:val="25040446"/>
    <w:rsid w:val="27715FC1"/>
    <w:rsid w:val="27C94452"/>
    <w:rsid w:val="27D0783E"/>
    <w:rsid w:val="27EF0472"/>
    <w:rsid w:val="2A852C52"/>
    <w:rsid w:val="2D1107DD"/>
    <w:rsid w:val="2FDF85B8"/>
    <w:rsid w:val="2FFFEE04"/>
    <w:rsid w:val="313D27E9"/>
    <w:rsid w:val="31946E04"/>
    <w:rsid w:val="31B639EF"/>
    <w:rsid w:val="31C95635"/>
    <w:rsid w:val="323331E6"/>
    <w:rsid w:val="34DF85B0"/>
    <w:rsid w:val="34E72711"/>
    <w:rsid w:val="36001C3A"/>
    <w:rsid w:val="374131B9"/>
    <w:rsid w:val="37CE32A7"/>
    <w:rsid w:val="3B292ED4"/>
    <w:rsid w:val="3B8F36BC"/>
    <w:rsid w:val="3BD14C31"/>
    <w:rsid w:val="3F8810CB"/>
    <w:rsid w:val="412020E6"/>
    <w:rsid w:val="41B370D6"/>
    <w:rsid w:val="42B7691E"/>
    <w:rsid w:val="447E086E"/>
    <w:rsid w:val="44C335AB"/>
    <w:rsid w:val="459B28D7"/>
    <w:rsid w:val="4676245F"/>
    <w:rsid w:val="475F4F2A"/>
    <w:rsid w:val="4869465C"/>
    <w:rsid w:val="48846C5E"/>
    <w:rsid w:val="491FF225"/>
    <w:rsid w:val="49C65F48"/>
    <w:rsid w:val="4A061AFF"/>
    <w:rsid w:val="4B48662F"/>
    <w:rsid w:val="4D317F76"/>
    <w:rsid w:val="4DDF7D83"/>
    <w:rsid w:val="4E5A4B2F"/>
    <w:rsid w:val="4F267EE8"/>
    <w:rsid w:val="4FFD214C"/>
    <w:rsid w:val="508A08F4"/>
    <w:rsid w:val="52B93647"/>
    <w:rsid w:val="5352765A"/>
    <w:rsid w:val="559215A5"/>
    <w:rsid w:val="55DF2B6F"/>
    <w:rsid w:val="5777D4F5"/>
    <w:rsid w:val="59C42BCC"/>
    <w:rsid w:val="59DD8326"/>
    <w:rsid w:val="5A1C1946"/>
    <w:rsid w:val="5DEF3829"/>
    <w:rsid w:val="5DEF592A"/>
    <w:rsid w:val="5E7E038C"/>
    <w:rsid w:val="5FC6BB1E"/>
    <w:rsid w:val="5FEE32EF"/>
    <w:rsid w:val="5FF720F1"/>
    <w:rsid w:val="600D7286"/>
    <w:rsid w:val="61855105"/>
    <w:rsid w:val="638C4A5F"/>
    <w:rsid w:val="6399607A"/>
    <w:rsid w:val="64616B0E"/>
    <w:rsid w:val="654A44F6"/>
    <w:rsid w:val="67FF5C0B"/>
    <w:rsid w:val="690141F5"/>
    <w:rsid w:val="69620A20"/>
    <w:rsid w:val="6A4B4E73"/>
    <w:rsid w:val="6B172A82"/>
    <w:rsid w:val="6BAA4A2F"/>
    <w:rsid w:val="6C740CC0"/>
    <w:rsid w:val="6D9743BF"/>
    <w:rsid w:val="6DEF4C69"/>
    <w:rsid w:val="6EE67BF2"/>
    <w:rsid w:val="6EFC0924"/>
    <w:rsid w:val="6F60356E"/>
    <w:rsid w:val="6FA109E3"/>
    <w:rsid w:val="6FB74722"/>
    <w:rsid w:val="6FEF8B7E"/>
    <w:rsid w:val="712C3F43"/>
    <w:rsid w:val="718F64EF"/>
    <w:rsid w:val="71A6591B"/>
    <w:rsid w:val="722E04E1"/>
    <w:rsid w:val="72403538"/>
    <w:rsid w:val="72FB7A62"/>
    <w:rsid w:val="73181954"/>
    <w:rsid w:val="737D59BA"/>
    <w:rsid w:val="737F32B1"/>
    <w:rsid w:val="75E52B7B"/>
    <w:rsid w:val="77C37683"/>
    <w:rsid w:val="789A4C0A"/>
    <w:rsid w:val="79FF515B"/>
    <w:rsid w:val="7C0E2D42"/>
    <w:rsid w:val="7C336153"/>
    <w:rsid w:val="7CAF011B"/>
    <w:rsid w:val="7D1818C9"/>
    <w:rsid w:val="7D72325C"/>
    <w:rsid w:val="7E612002"/>
    <w:rsid w:val="7E9E1962"/>
    <w:rsid w:val="7E9F11B4"/>
    <w:rsid w:val="7F37EC1E"/>
    <w:rsid w:val="7F7DCD9D"/>
    <w:rsid w:val="7F970A6F"/>
    <w:rsid w:val="7FC1FFF3"/>
    <w:rsid w:val="7FC69637"/>
    <w:rsid w:val="7FDF8620"/>
    <w:rsid w:val="7FFB242F"/>
    <w:rsid w:val="7FFDB408"/>
    <w:rsid w:val="7FFE4EEB"/>
    <w:rsid w:val="95FB2B98"/>
    <w:rsid w:val="9A639BC2"/>
    <w:rsid w:val="9FF7D786"/>
    <w:rsid w:val="ABBFB23D"/>
    <w:rsid w:val="C3B4DA5A"/>
    <w:rsid w:val="CBFF70E0"/>
    <w:rsid w:val="CFF50B82"/>
    <w:rsid w:val="CFFFAD89"/>
    <w:rsid w:val="DFFE359E"/>
    <w:rsid w:val="DFFE4FFD"/>
    <w:rsid w:val="EEABED75"/>
    <w:rsid w:val="F56FDF51"/>
    <w:rsid w:val="F6B69F17"/>
    <w:rsid w:val="F77F1D61"/>
    <w:rsid w:val="F7FED3A9"/>
    <w:rsid w:val="F8C9DB26"/>
    <w:rsid w:val="F97E8EAE"/>
    <w:rsid w:val="FB36E1A6"/>
    <w:rsid w:val="FB3BE134"/>
    <w:rsid w:val="FCFF4275"/>
    <w:rsid w:val="FD7FEEEA"/>
    <w:rsid w:val="FDFFB577"/>
    <w:rsid w:val="FEEA50FE"/>
    <w:rsid w:val="FF7D47A9"/>
    <w:rsid w:val="FFCF21CB"/>
    <w:rsid w:val="FFFF1C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nhideWhenUsed="0" w:uiPriority="0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qFormat="1" w:uiPriority="99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note text"/>
    <w:basedOn w:val="1"/>
    <w:next w:val="3"/>
    <w:semiHidden/>
    <w:qFormat/>
    <w:uiPriority w:val="0"/>
    <w:pPr>
      <w:snapToGrid w:val="0"/>
      <w:jc w:val="left"/>
    </w:pPr>
    <w:rPr>
      <w:sz w:val="18"/>
      <w:szCs w:val="18"/>
    </w:rPr>
  </w:style>
  <w:style w:type="paragraph" w:styleId="3">
    <w:name w:val="Body Text First Indent 2"/>
    <w:basedOn w:val="4"/>
    <w:next w:val="1"/>
    <w:unhideWhenUsed/>
    <w:qFormat/>
    <w:uiPriority w:val="99"/>
    <w:pPr>
      <w:ind w:firstLine="420" w:firstLineChars="200"/>
    </w:pPr>
  </w:style>
  <w:style w:type="paragraph" w:styleId="4">
    <w:name w:val="Body Text Indent"/>
    <w:basedOn w:val="1"/>
    <w:next w:val="3"/>
    <w:unhideWhenUsed/>
    <w:qFormat/>
    <w:uiPriority w:val="99"/>
    <w:pPr>
      <w:widowControl/>
      <w:spacing w:after="120"/>
      <w:ind w:left="420" w:leftChars="200"/>
      <w:jc w:val="left"/>
    </w:pPr>
    <w:rPr>
      <w:rFonts w:ascii="宋体" w:hAnsi="宋体" w:eastAsia="宋体" w:cs="宋体"/>
      <w:kern w:val="0"/>
      <w:sz w:val="24"/>
    </w:rPr>
  </w:style>
  <w:style w:type="paragraph" w:styleId="5">
    <w:name w:val="Balloon Text"/>
    <w:basedOn w:val="1"/>
    <w:link w:val="14"/>
    <w:semiHidden/>
    <w:unhideWhenUsed/>
    <w:qFormat/>
    <w:uiPriority w:val="99"/>
    <w:rPr>
      <w:sz w:val="18"/>
      <w:szCs w:val="18"/>
    </w:rPr>
  </w:style>
  <w:style w:type="paragraph" w:styleId="6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0">
    <w:name w:val="页眉 Char"/>
    <w:basedOn w:val="9"/>
    <w:link w:val="7"/>
    <w:qFormat/>
    <w:uiPriority w:val="99"/>
    <w:rPr>
      <w:sz w:val="18"/>
      <w:szCs w:val="18"/>
    </w:rPr>
  </w:style>
  <w:style w:type="character" w:customStyle="1" w:styleId="11">
    <w:name w:val="页脚 Char"/>
    <w:basedOn w:val="9"/>
    <w:link w:val="6"/>
    <w:qFormat/>
    <w:uiPriority w:val="99"/>
    <w:rPr>
      <w:sz w:val="18"/>
      <w:szCs w:val="18"/>
    </w:rPr>
  </w:style>
  <w:style w:type="paragraph" w:customStyle="1" w:styleId="12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eastAsia="黑体" w:cs="黑体" w:hAnsiTheme="minorHAnsi"/>
      <w:color w:val="000000"/>
      <w:kern w:val="0"/>
      <w:sz w:val="24"/>
      <w:szCs w:val="24"/>
      <w:lang w:val="en-US" w:eastAsia="zh-CN" w:bidi="ar-SA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character" w:customStyle="1" w:styleId="14">
    <w:name w:val="批注框文本 Char"/>
    <w:basedOn w:val="9"/>
    <w:link w:val="5"/>
    <w:semiHidden/>
    <w:qFormat/>
    <w:uiPriority w:val="99"/>
    <w:rPr>
      <w:sz w:val="18"/>
      <w:szCs w:val="18"/>
    </w:rPr>
  </w:style>
  <w:style w:type="character" w:customStyle="1" w:styleId="15">
    <w:name w:val="font01"/>
    <w:basedOn w:val="9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6">
    <w:name w:val="font21"/>
    <w:basedOn w:val="9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17">
    <w:name w:val="font11"/>
    <w:basedOn w:val="9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20</Pages>
  <Words>6462</Words>
  <Characters>7182</Characters>
  <Lines>63</Lines>
  <Paragraphs>18</Paragraphs>
  <TotalTime>127</TotalTime>
  <ScaleCrop>false</ScaleCrop>
  <LinksUpToDate>false</LinksUpToDate>
  <CharactersWithSpaces>7207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2020-07-08T02:32:00Z</dcterms:created>
  <dc:creator>李航 null</dc:creator>
  <cp:lastModifiedBy>wufazhuce</cp:lastModifiedBy>
  <cp:lastPrinted>2024-08-08T10:20:00Z</cp:lastPrinted>
  <dcterms:modified xsi:type="dcterms:W3CDTF">2025-09-28T02:37:42Z</dcterms:modified>
  <cp:revision>67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BC6FD9FBF4E44591A8CF8B282A6CDE3C_13</vt:lpwstr>
  </property>
  <property fmtid="{D5CDD505-2E9C-101B-9397-08002B2CF9AE}" pid="4" name="KSOTemplateDocerSaveRecord">
    <vt:lpwstr>eyJoZGlkIjoiMzMyNjc2OTZjMzc4OTI0OGM4NDIyYjFiMjIwYjFmZDMiLCJ1c2VySWQiOiIyNDA4NDg4NzAifQ==</vt:lpwstr>
  </property>
</Properties>
</file>