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EC236"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 w14:paraId="36B7D558">
      <w:pPr>
        <w:jc w:val="both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 w14:paraId="04D200F2">
      <w:pPr>
        <w:jc w:val="both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 w14:paraId="77A258F4"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 w14:paraId="2CC329D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岳阳市妇幼保健院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（单位）</w:t>
      </w:r>
    </w:p>
    <w:p w14:paraId="1CF97542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整体支出绩效自评报告</w:t>
      </w:r>
    </w:p>
    <w:p w14:paraId="07A9F8D3"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 w14:paraId="2812A352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56A1172D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0819F17F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2902FCB8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63FCA1C7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1328829D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 w14:paraId="63C16E1A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606A49E1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4E2CCB62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6AD3B443"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3C40C21A"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03E192A1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5678E746"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>（盖章）</w:t>
      </w:r>
    </w:p>
    <w:p w14:paraId="32FC139C"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val="en-US"/>
        </w:rPr>
        <w:t>202</w:t>
      </w:r>
      <w:r>
        <w:rPr>
          <w:rFonts w:hint="eastAsia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lang w:val="en-US"/>
        </w:rPr>
        <w:t>6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26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日</w:t>
      </w:r>
    </w:p>
    <w:p w14:paraId="04E7619F"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（此页为封面）</w:t>
      </w:r>
    </w:p>
    <w:p w14:paraId="1A9691B0"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78042CC0">
      <w:pPr>
        <w:bidi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1A731146">
      <w:pPr>
        <w:bidi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0E472ACE">
      <w:pPr>
        <w:bidi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169042C8">
      <w:pPr>
        <w:bidi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415F15FD">
      <w:pPr>
        <w:bidi w:val="0"/>
        <w:jc w:val="left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岳阳市妇幼保健院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（单位）</w:t>
      </w:r>
    </w:p>
    <w:p w14:paraId="278FA82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整体支出绩效自评报告</w:t>
      </w:r>
    </w:p>
    <w:p w14:paraId="3FE43D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52C61B65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部门（单位）基本情况</w:t>
      </w:r>
    </w:p>
    <w:p w14:paraId="199314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0" w:firstLine="640" w:firstLineChars="200"/>
        <w:textAlignment w:val="auto"/>
        <w:rPr>
          <w:rFonts w:hint="eastAsia" w:ascii="仿宋" w:hAnsi="仿宋" w:eastAsia="仿宋" w:cs="仿宋"/>
          <w:sz w:val="32"/>
          <w:szCs w:val="24"/>
          <w:lang w:eastAsia="zh-CN"/>
        </w:rPr>
      </w:pPr>
      <w:r>
        <w:rPr>
          <w:rFonts w:hint="eastAsia" w:ascii="仿宋" w:hAnsi="仿宋" w:eastAsia="仿宋" w:cs="仿宋"/>
          <w:sz w:val="32"/>
          <w:szCs w:val="24"/>
        </w:rPr>
        <w:t>岳阳市妇幼保健院始建于1964年，是一所集预防、保健、医疗、教学、科研、康复于一体的三级甲等妇幼保健院。医院下设二级机构“岳阳市儿童医院”、“岳阳市生殖与遗传专科医院”。由岳阳市卫生健康委员会举办，经岳阳市事业登记管理局批准</w:t>
      </w:r>
      <w:r>
        <w:rPr>
          <w:rFonts w:hint="eastAsia" w:ascii="仿宋" w:hAnsi="仿宋" w:eastAsia="仿宋" w:cs="仿宋"/>
          <w:sz w:val="32"/>
          <w:szCs w:val="24"/>
          <w:lang w:eastAsia="zh-CN"/>
        </w:rPr>
        <w:t>。主要职能包括：</w:t>
      </w:r>
    </w:p>
    <w:p w14:paraId="6BD30E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0" w:firstLine="640" w:firstLineChars="200"/>
        <w:textAlignment w:val="auto"/>
        <w:rPr>
          <w:rFonts w:hint="eastAsia" w:ascii="仿宋" w:hAnsi="仿宋" w:eastAsia="仿宋" w:cs="仿宋"/>
          <w:sz w:val="32"/>
          <w:szCs w:val="24"/>
          <w:lang w:eastAsia="zh-CN"/>
        </w:rPr>
      </w:pPr>
      <w:r>
        <w:rPr>
          <w:rFonts w:hint="eastAsia" w:ascii="仿宋" w:hAnsi="仿宋" w:eastAsia="仿宋" w:cs="仿宋"/>
          <w:sz w:val="32"/>
          <w:szCs w:val="24"/>
          <w:lang w:eastAsia="zh-CN"/>
        </w:rPr>
        <w:t>（1）负责指导全市妇幼保健工作，指导乡镇卫生院产科建设，开展社区卫生服务。</w:t>
      </w:r>
    </w:p>
    <w:p w14:paraId="03ACC6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0" w:firstLine="640" w:firstLineChars="200"/>
        <w:textAlignment w:val="auto"/>
        <w:rPr>
          <w:rFonts w:hint="eastAsia" w:ascii="仿宋" w:hAnsi="仿宋" w:eastAsia="仿宋" w:cs="仿宋"/>
          <w:sz w:val="32"/>
          <w:szCs w:val="24"/>
          <w:lang w:eastAsia="zh-CN"/>
        </w:rPr>
      </w:pPr>
      <w:r>
        <w:rPr>
          <w:rFonts w:hint="eastAsia" w:ascii="仿宋" w:hAnsi="仿宋" w:eastAsia="仿宋" w:cs="仿宋"/>
          <w:sz w:val="32"/>
          <w:szCs w:val="24"/>
          <w:lang w:eastAsia="zh-CN"/>
        </w:rPr>
        <w:t>（2）负责全市妇幼卫生干部培训工作。</w:t>
      </w:r>
    </w:p>
    <w:p w14:paraId="4A2D5A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0" w:firstLine="640" w:firstLineChars="200"/>
        <w:textAlignment w:val="auto"/>
        <w:rPr>
          <w:rFonts w:hint="eastAsia" w:ascii="仿宋" w:hAnsi="仿宋" w:eastAsia="仿宋" w:cs="仿宋"/>
          <w:sz w:val="32"/>
          <w:szCs w:val="24"/>
          <w:lang w:eastAsia="zh-CN"/>
        </w:rPr>
      </w:pPr>
      <w:r>
        <w:rPr>
          <w:rFonts w:hint="eastAsia" w:ascii="仿宋" w:hAnsi="仿宋" w:eastAsia="仿宋" w:cs="仿宋"/>
          <w:sz w:val="32"/>
          <w:szCs w:val="24"/>
          <w:lang w:eastAsia="zh-CN"/>
        </w:rPr>
        <w:t>（3）负责贯彻执行《母婴保健法》，开展母婴保健服务技术指导工作。</w:t>
      </w:r>
    </w:p>
    <w:p w14:paraId="407B89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0" w:firstLine="640" w:firstLineChars="200"/>
        <w:textAlignment w:val="auto"/>
        <w:rPr>
          <w:rFonts w:hint="eastAsia" w:ascii="仿宋" w:hAnsi="仿宋" w:eastAsia="仿宋" w:cs="仿宋"/>
          <w:sz w:val="32"/>
          <w:szCs w:val="24"/>
          <w:lang w:eastAsia="zh-CN"/>
        </w:rPr>
      </w:pPr>
      <w:r>
        <w:rPr>
          <w:rFonts w:hint="eastAsia" w:ascii="仿宋" w:hAnsi="仿宋" w:eastAsia="仿宋" w:cs="仿宋"/>
          <w:sz w:val="32"/>
          <w:szCs w:val="24"/>
          <w:lang w:eastAsia="zh-CN"/>
        </w:rPr>
        <w:t>（4）负责全市孕产妇急救服务工作。</w:t>
      </w:r>
    </w:p>
    <w:p w14:paraId="78E1B4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0" w:firstLine="640" w:firstLineChars="200"/>
        <w:textAlignment w:val="auto"/>
        <w:rPr>
          <w:rFonts w:hint="eastAsia" w:ascii="仿宋" w:hAnsi="仿宋" w:eastAsia="仿宋" w:cs="仿宋"/>
          <w:sz w:val="32"/>
          <w:szCs w:val="24"/>
          <w:lang w:eastAsia="zh-CN"/>
        </w:rPr>
      </w:pPr>
      <w:r>
        <w:rPr>
          <w:rFonts w:hint="eastAsia" w:ascii="仿宋" w:hAnsi="仿宋" w:eastAsia="仿宋" w:cs="仿宋"/>
          <w:sz w:val="32"/>
          <w:szCs w:val="24"/>
          <w:lang w:eastAsia="zh-CN"/>
        </w:rPr>
        <w:t>（5）负责全市妇幼卫生信息统计分析。</w:t>
      </w:r>
    </w:p>
    <w:p w14:paraId="3B0BA6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0" w:firstLine="640" w:firstLineChars="200"/>
        <w:textAlignment w:val="auto"/>
        <w:rPr>
          <w:rFonts w:hint="eastAsia" w:ascii="仿宋" w:hAnsi="仿宋" w:eastAsia="仿宋" w:cs="仿宋"/>
          <w:sz w:val="32"/>
          <w:szCs w:val="24"/>
          <w:lang w:eastAsia="zh-CN"/>
        </w:rPr>
      </w:pPr>
      <w:r>
        <w:rPr>
          <w:rFonts w:hint="eastAsia" w:ascii="仿宋" w:hAnsi="仿宋" w:eastAsia="仿宋" w:cs="仿宋"/>
          <w:sz w:val="32"/>
          <w:szCs w:val="24"/>
          <w:lang w:eastAsia="zh-CN"/>
        </w:rPr>
        <w:t>（6）负责全市爱婴医院创建、医疗、科研、健康教育等工作。</w:t>
      </w:r>
    </w:p>
    <w:p w14:paraId="090A56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0" w:firstLine="640" w:firstLineChars="200"/>
        <w:textAlignment w:val="auto"/>
        <w:rPr>
          <w:rFonts w:hint="eastAsia" w:ascii="仿宋" w:hAnsi="仿宋" w:eastAsia="仿宋" w:cs="仿宋"/>
          <w:sz w:val="32"/>
          <w:szCs w:val="24"/>
          <w:lang w:eastAsia="zh-CN"/>
        </w:rPr>
      </w:pPr>
      <w:r>
        <w:rPr>
          <w:rFonts w:hint="eastAsia" w:ascii="仿宋" w:hAnsi="仿宋" w:eastAsia="仿宋" w:cs="仿宋"/>
          <w:sz w:val="32"/>
          <w:szCs w:val="24"/>
          <w:lang w:eastAsia="zh-CN"/>
        </w:rPr>
        <w:t>（7）协助卫生行政部门制定全市妇幼卫生工作规划并组织实施，提高出生人口素质以及全民族身体素质。</w:t>
      </w:r>
    </w:p>
    <w:p w14:paraId="29049B2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医院现有职工914人，其中卫生技术人员797人，副高以上职称172人（其中正高34人，副高138人），有博士研究生4人（其中博士后2人）、硕士研究生67人，岳阳市首席专家4人，享受湖南省政府特殊津贴专家1人，湖南省名老中医1人，岳阳市名医9人，享受岳阳市政府特殊津贴专家4人，教授8人，硕士研究生导师6人，博士研究生导师1人。</w:t>
      </w:r>
    </w:p>
    <w:p w14:paraId="2557E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" w:firstLine="640" w:firstLineChars="200"/>
        <w:textAlignment w:val="auto"/>
        <w:rPr>
          <w:rFonts w:hint="eastAsia" w:ascii="仿宋" w:hAnsi="仿宋" w:eastAsia="仿宋" w:cs="仿宋"/>
          <w:sz w:val="32"/>
          <w:szCs w:val="24"/>
        </w:rPr>
      </w:pPr>
      <w:r>
        <w:rPr>
          <w:rFonts w:hint="eastAsia" w:ascii="仿宋" w:hAnsi="仿宋" w:eastAsia="仿宋" w:cs="仿宋"/>
          <w:sz w:val="32"/>
          <w:szCs w:val="24"/>
        </w:rPr>
        <w:t>临床保健科室包括产科、新生儿科、儿童保健科、儿科、妇科、妇女保健科、生殖医学中心、小儿外科、泌尿外科、乳甲外科、急诊科、麻醉科、检验科、医学遗传科、功能科、病理科、门诊部、手术室、体检中心等，职能科室包括财务部、党办、办公室、组织人事部、医务部、护理部、医学装备部、医疗保险部、科教科、后勤服务部、药学办、院感科等。</w:t>
      </w:r>
    </w:p>
    <w:p w14:paraId="2E7FA36B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二、一般公共预算支出情况</w:t>
      </w:r>
    </w:p>
    <w:p w14:paraId="23D0DFAA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（一）基本支出情况</w:t>
      </w:r>
    </w:p>
    <w:p w14:paraId="4E72FC2B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基本支出1780万元，其中，一般公共预算财政拨款支出1780万元。无政府性基金预算支出、国有资本经营预算支出、社会保险基金预算支出。人员支出1756.77万元，公用支出23.23万元，其中：</w:t>
      </w:r>
    </w:p>
    <w:p w14:paraId="247F8DBF"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工资福利支出1642.89万元，主要包括在职人员基本工资、津补贴、绩效工资、基本养老保险、基本医疗保险、工伤保险和住房公积金。</w:t>
      </w:r>
    </w:p>
    <w:p w14:paraId="25AEA543"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商品和服务支出23.23万元，主要包括专用材料费、工会经费和其他商品和服务支出等。</w:t>
      </w:r>
    </w:p>
    <w:p w14:paraId="346147EF"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对个人和家庭补助支出113.88万元，主要包括离休费、退休费、生活补助、其他对个人和家庭的补助。</w:t>
      </w:r>
    </w:p>
    <w:p w14:paraId="5109C502"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项目支出情况</w:t>
      </w:r>
    </w:p>
    <w:p w14:paraId="1BD4FE57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1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项目支出1302.22万元，一般公共预算财政拨款支出1302.22万元。无政府性基金预算支出、国有资本经营预算支出、社会保险基金预算支出。其中：</w:t>
      </w:r>
    </w:p>
    <w:p w14:paraId="371D4E23">
      <w:pPr>
        <w:pStyle w:val="8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9" w:leftChars="0" w:firstLine="641" w:firstLineChars="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商品和服务支出340.92万元，主要包括办公费、印刷费、差旅费、维修（护）费、培训费、专用材料费、劳务费、其他交通费和其他商品和服务支出等。</w:t>
      </w:r>
    </w:p>
    <w:p w14:paraId="1F1375DB">
      <w:pPr>
        <w:pStyle w:val="8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9" w:leftChars="0" w:firstLine="641" w:firstLineChars="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对个人和家庭补助支出173.31万元，主要包括离休费、退休费、其他对个人和家庭的补助。</w:t>
      </w:r>
    </w:p>
    <w:p w14:paraId="50DD8896">
      <w:pPr>
        <w:pStyle w:val="8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9" w:leftChars="0" w:firstLine="641" w:firstLineChars="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资本性支出588.07万元：主要包括专用设备购置。</w:t>
      </w:r>
    </w:p>
    <w:p w14:paraId="34560BA1">
      <w:pPr>
        <w:pStyle w:val="8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9" w:leftChars="0" w:firstLine="641" w:firstLineChars="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对企业补助（基本建设）199.92万元。</w:t>
      </w:r>
    </w:p>
    <w:p w14:paraId="70CA5355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政府性基金预算支出情况</w:t>
      </w:r>
    </w:p>
    <w:p w14:paraId="48779CCB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20" w:leftChars="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无政府性基金预算支出</w:t>
      </w:r>
    </w:p>
    <w:p w14:paraId="74C3A486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国有资本经营预算支出情况</w:t>
      </w:r>
    </w:p>
    <w:p w14:paraId="56614C76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20" w:leftChars="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无国有资本经营预算支出</w:t>
      </w:r>
    </w:p>
    <w:p w14:paraId="0F80841C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社会保险基金预算支出情况</w:t>
      </w:r>
    </w:p>
    <w:p w14:paraId="2D39D575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kern w:val="0"/>
          <w:sz w:val="32"/>
          <w:szCs w:val="24"/>
          <w:lang w:val="en-US" w:eastAsia="zh-CN" w:bidi="ar-SA"/>
        </w:rPr>
        <w:t>无社会保险基金预算支出</w:t>
      </w:r>
    </w:p>
    <w:p w14:paraId="1D6C08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六、部门整体支出绩效情况</w:t>
      </w:r>
    </w:p>
    <w:p w14:paraId="2B45A5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eastAsia="zh-CN"/>
        </w:rPr>
        <w:t>（一）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一般公共预算支出绩效目标完成情况</w:t>
      </w:r>
    </w:p>
    <w:p w14:paraId="0038E5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产出指标：</w:t>
      </w:r>
    </w:p>
    <w:p w14:paraId="4100AC48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数量指标：重点学科数量在3个以上。实际为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个，市级重点学科三个：产科、新生儿科、生殖医学中心。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四级手术量要求逐年提升，2023年手术量为96台，2024年手术量为91台。</w:t>
      </w:r>
    </w:p>
    <w:p w14:paraId="50B700F6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质量指标：医疗服务质量提升，医疗服务收入占医疗收入比例大于20%，实际为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37.09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%。</w:t>
      </w:r>
    </w:p>
    <w:p w14:paraId="31C369A4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时效指标：202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年内完成非税指标。实际在年度内完成上缴非税任务。</w:t>
      </w:r>
    </w:p>
    <w:p w14:paraId="3E00DD9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满意度指标：</w:t>
      </w:r>
    </w:p>
    <w:p w14:paraId="31CC0BC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服务对象满意度大于95%。在满意度调查中，门诊满意度9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7.5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%，住院满意度9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7.5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%。</w:t>
      </w:r>
    </w:p>
    <w:p w14:paraId="47BB48E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3、效益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指标：</w:t>
      </w:r>
    </w:p>
    <w:p w14:paraId="3E08E33D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经济成本指标：工资福利支出占总支出比值大于40%，实际为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40.13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%。药占比（药品收入占医疗收入的占比），小于20%，实际1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4.95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%。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医院稳定有序的经营</w:t>
      </w:r>
    </w:p>
    <w:p w14:paraId="624BF9D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 xml:space="preserve">C.  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生态环境成本指标：医疗排放物达到环保要求。医疗废物废水集中处理后排放，取样标准达到环境要求。</w:t>
      </w:r>
    </w:p>
    <w:p w14:paraId="581A770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（二）预算投入情况</w:t>
      </w:r>
    </w:p>
    <w:p w14:paraId="2A92F7A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财政供养人员编制数296人，实际在职人数200人，控制率67.57%。</w:t>
      </w:r>
    </w:p>
    <w:p w14:paraId="6EC0B14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单位年初预算为1889.91万元，全年预算数3488.25万元，全年执行数2996.96万元，执行率85.91%。</w:t>
      </w:r>
    </w:p>
    <w:p w14:paraId="013FA1B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三公经费预算数18</w:t>
      </w:r>
      <w:bookmarkStart w:id="0" w:name="_GoBack"/>
      <w:bookmarkEnd w:id="0"/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万元，决算数4.01万元；办公经费0万元，决算数4.14万元，水费、电费、差旅费预算数0万元，决算数7.09万元，会议培训费0万元，决算数34.85万元。</w:t>
      </w:r>
    </w:p>
    <w:p w14:paraId="73AAF7A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宋体" w:hAnsi="Times New Roman" w:eastAsia="仿宋" w:cs="宋体"/>
          <w:sz w:val="32"/>
          <w:szCs w:val="32"/>
          <w:lang w:eastAsia="zh-CN"/>
        </w:rPr>
      </w:pPr>
      <w:r>
        <w:rPr>
          <w:rFonts w:hint="eastAsia" w:ascii="宋体" w:hAnsi="Times New Roman" w:eastAsia="仿宋" w:cs="宋体"/>
          <w:sz w:val="32"/>
          <w:szCs w:val="32"/>
          <w:lang w:eastAsia="zh-CN"/>
        </w:rPr>
        <w:t>（四）工作开展情况</w:t>
      </w:r>
    </w:p>
    <w:p w14:paraId="1194B57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1、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  <w:t>党建工作引领全局。</w:t>
      </w:r>
    </w:p>
    <w:p w14:paraId="64F28CA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  <w:t>全院干部职工认真学习贯彻党的二十大精神，扎实开展主题教育，全面践行新时代党的建设总要求，以党建工作新成效汇聚推动医院改革发展正能量。一是深入学习习近平新时代中国特色社会主义思想。二是深入开展“大走访、大调研”活动。三是开展丰富的党建活动。四是不断深化党建带团建，青年工作丰富多彩。五是着重强化清廉医院建设，打造过硬队伍。</w:t>
      </w:r>
    </w:p>
    <w:p w14:paraId="211F8CC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2、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  <w:t>保健工作全面夯实。</w:t>
      </w:r>
    </w:p>
    <w:p w14:paraId="33E20A0C">
      <w:pPr>
        <w:spacing w:before="120" w:beforeLines="0" w:afterLines="0" w:line="396" w:lineRule="atLeast"/>
        <w:ind w:left="15" w:right="11" w:firstLine="604"/>
        <w:jc w:val="left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  <w:t>一是三级网络更加坚实。建立了以市妇幼保健院为中心，县级母婴保健技术服务机构为枢纽，乡镇卫生院为基础的三级母婴安全保障网络。202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  <w:t>年我市孕产妇死亡率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  <w:t>，新生儿死亡率为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1.17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  <w:t>‰，婴儿死亡率为2.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04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  <w:t>‰，5岁以下儿童死亡率为3.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46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  <w:t>‰，全面达到省卫健委考核指标。二是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积极落实重点民生实事项目。 全力推进省级民生实事，2024年对20017例新生儿开展免费疾病筛查与诊断，主要包括4个项目，新生儿听力障碍、新生儿致盲性眼病、新生儿先天性心脏病、新生儿遗传代谢病。三是强化出生缺陷综合防治工作。深入贯彻落实《岳阳市出生缺陷防治办法》，践行从婚前保健、孕前保健、孕期保健、产后保健、儿童保健、更年期保健等全生命周期保健理念，紧紧围绕出生缺陷三级预防开展工作。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三是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加速妇幼重大疾病消除。一是加强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zh-CN" w:eastAsia="zh-CN"/>
        </w:rPr>
        <w:t>“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两癌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zh-CN" w:eastAsia="zh-CN"/>
        </w:rPr>
        <w:t>”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项目质量控制。抽调专业人员协助云溪区、屈原区开展筛查；加大宣传力度，联合妇联利用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zh-CN" w:eastAsia="zh-CN"/>
        </w:rPr>
        <w:t>“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健康教育进校园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zh-CN" w:eastAsia="zh-CN"/>
        </w:rPr>
        <w:t>”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活动，将15岁前宫颈癌疫苗接种知识纳入健康宣教内容；加大人力与经费投入，免费为4185名有筛查意愿的妇女提供免费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zh-CN" w:eastAsia="zh-CN"/>
        </w:rPr>
        <w:t>“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两癌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zh-CN" w:eastAsia="zh-CN"/>
        </w:rPr>
        <w:t>”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筛查。二是推进消除艾梅乙母婴传播项目。定期开展项目专项质量评估，召开梅毒感染阳性孕产妇及所生儿童评审观摩会。</w:t>
      </w:r>
    </w:p>
    <w:p w14:paraId="62012AC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3、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  <w:t>医疗质量再上台阶。</w:t>
      </w:r>
    </w:p>
    <w:p w14:paraId="04466EBB">
      <w:pPr>
        <w:spacing w:before="120" w:beforeLines="0" w:afterLines="0" w:line="396" w:lineRule="atLeast"/>
        <w:ind w:left="15" w:right="11" w:firstLine="604"/>
        <w:jc w:val="left"/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</w:pPr>
      <w:r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  <w:t>一是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以提升业务为抓手，促进医院高质量发展。一是实现业务平稳增长，二是推出多项惠民利民举措。组织多次大型义诊、健康讲座、孕妇课堂，对接经开区、南湖新区进行业务指导和多层次合作洽谈。三是进一步扩展诊疗服务范围。四是推进妇幼特色中医药建设。五是多方携手助力医院发展。</w:t>
      </w:r>
    </w:p>
    <w:p w14:paraId="0E7CB9C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4、民生实事全力推进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  <w:t>。</w:t>
      </w:r>
    </w:p>
    <w:p w14:paraId="4C917579">
      <w:pPr>
        <w:spacing w:before="120" w:beforeLines="0" w:afterLines="0" w:line="396" w:lineRule="atLeast"/>
        <w:ind w:left="15" w:right="11" w:firstLine="604"/>
        <w:jc w:val="left"/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一是推进检查检验结果共享互认，让看病就医更便利。二是推进检查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zh-CN" w:eastAsia="zh-CN"/>
        </w:rPr>
        <w:t>“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一站式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zh-CN" w:eastAsia="zh-CN"/>
        </w:rPr>
        <w:t>”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预约，让就诊服务更顺畅。三是推进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zh-CN" w:eastAsia="zh-CN"/>
        </w:rPr>
        <w:t>“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一站式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zh-CN" w:eastAsia="zh-CN"/>
        </w:rPr>
        <w:t>”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结算，让患者出院更高效。四是推进巡回医疗，让家门口看病更便捷。五是推进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zh-CN" w:eastAsia="zh-CN"/>
        </w:rPr>
        <w:t>“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一站式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zh-CN" w:eastAsia="zh-CN"/>
        </w:rPr>
        <w:t>”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服务中心建设，让就医体验更舒适。六是推进中药代煎和邮寄服务，让使用中药更方便。七是推进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zh-CN" w:eastAsia="zh-CN"/>
        </w:rPr>
        <w:t>“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新生儿出生一件事一次办</w:t>
      </w:r>
      <w:r>
        <w:rPr>
          <w:rFonts w:hint="default" w:eastAsia="仿宋" w:cs="仿宋"/>
          <w:color w:val="000000"/>
          <w:sz w:val="32"/>
          <w:szCs w:val="32"/>
          <w:highlight w:val="none"/>
          <w:lang w:val="zh-CN" w:eastAsia="zh-CN"/>
        </w:rPr>
        <w:t>”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，让便民服务更暖心。八是推进电子健康码和医保码同屏展码和协同应用，让信息融合更全面。</w:t>
      </w:r>
    </w:p>
    <w:p w14:paraId="1E8D44A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5、</w:t>
      </w: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安全工作成效显著。</w:t>
      </w:r>
    </w:p>
    <w:p w14:paraId="67E76BE0">
      <w:pPr>
        <w:spacing w:before="120" w:beforeLines="0" w:afterLines="0" w:line="396" w:lineRule="atLeast"/>
        <w:ind w:left="15" w:right="11" w:firstLine="604"/>
        <w:jc w:val="left"/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zh-CN" w:eastAsia="zh-CN"/>
        </w:rPr>
        <w:t>一是建立了平安医院建设责任制。二是加强人防、物防、机防建设。三是建立健全医疗纠纷排查机制。四是加强对干部职工的法制教育。五是对安全隐患积极整改。</w:t>
      </w:r>
    </w:p>
    <w:p w14:paraId="725853AB">
      <w:pPr>
        <w:pStyle w:val="8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存在的问题及原因分析</w:t>
      </w:r>
    </w:p>
    <w:p w14:paraId="059CBEF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在预算执行的过程存在待解决的问题。财政项目资金的执行涉及实施部门和财务部门，实施部门负责按照实施方案执行，财务部门负责按照预算付款，两个部门分别负责具体实施和资金支付环节。如果科室缺少沟通，付款的财务科对项目的立项过程、实施方案缺乏了解，最终导致项目类资金执行率低。</w:t>
      </w:r>
    </w:p>
    <w:p w14:paraId="5C170D6E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下一步改进措施</w:t>
      </w:r>
    </w:p>
    <w:p w14:paraId="52CA947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因为实施和付款是两个科室，且预算指标不能调剂，因此制定如下措施：</w:t>
      </w:r>
    </w:p>
    <w:p w14:paraId="07F5A9D0"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实施部门与财务部门信息互通。包括立项资料、实施方案、指标下达文件等有关项目的信息。两个部门必须清楚了解项目的方方面面。</w:t>
      </w:r>
    </w:p>
    <w:p w14:paraId="20FC9049"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财务部门协助实施部门制定预算。财务部门擅长资金预算，对实施部门提出的付款计划，要从合规性、合理性、完整性方面给予指导，保障资金顺利支付，提高执行率。</w:t>
      </w:r>
    </w:p>
    <w:p w14:paraId="44263055"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梳理报账流程。报账环节也是提高执行率的关键。请款单及附件要完整，注明项目名称，严格执行“专款专用”原则，不漏付、不滥用。</w:t>
      </w:r>
    </w:p>
    <w:p w14:paraId="3C052D20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部门整体支出绩效自评结果拟应用和公开情况</w:t>
      </w:r>
    </w:p>
    <w:p w14:paraId="3E9538D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部门整体支出绩效自评结果与当年度决算一同公开</w:t>
      </w:r>
    </w:p>
    <w:p w14:paraId="6FB73437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其他需要说明的情况</w:t>
      </w:r>
    </w:p>
    <w:p w14:paraId="536086A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color w:val="000000"/>
          <w:sz w:val="32"/>
          <w:szCs w:val="32"/>
          <w:highlight w:val="none"/>
          <w:lang w:val="en-US" w:eastAsia="zh-CN"/>
        </w:rPr>
        <w:t>无</w:t>
      </w:r>
    </w:p>
    <w:p w14:paraId="63B8B4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017F9B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报告需要以下附件：</w:t>
      </w:r>
    </w:p>
    <w:p w14:paraId="3C4113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部门整体支出绩效评价基础数据表</w:t>
      </w:r>
    </w:p>
    <w:p w14:paraId="00DF03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部门整体支出绩效自评表</w:t>
      </w:r>
    </w:p>
    <w:p w14:paraId="7D4D38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项目支出绩效自评表（一个一级项目支出一张表）</w:t>
      </w:r>
    </w:p>
    <w:p w14:paraId="12AE69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政府性基金预算支出情况表</w:t>
      </w:r>
    </w:p>
    <w:p w14:paraId="706EF5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国有资本经营预算支出情况表</w:t>
      </w:r>
    </w:p>
    <w:p w14:paraId="0097B0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社会保险基金预算支出情况表</w:t>
      </w:r>
    </w:p>
    <w:p w14:paraId="4C01C582"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8F746E"/>
    <w:multiLevelType w:val="singleLevel"/>
    <w:tmpl w:val="B18F746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55653DD"/>
    <w:multiLevelType w:val="singleLevel"/>
    <w:tmpl w:val="E55653DD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ED92D239"/>
    <w:multiLevelType w:val="singleLevel"/>
    <w:tmpl w:val="ED92D239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4B6E001"/>
    <w:multiLevelType w:val="singleLevel"/>
    <w:tmpl w:val="04B6E001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10771683"/>
    <w:multiLevelType w:val="singleLevel"/>
    <w:tmpl w:val="10771683"/>
    <w:lvl w:ilvl="0" w:tentative="0">
      <w:start w:val="1"/>
      <w:numFmt w:val="decimal"/>
      <w:suff w:val="nothing"/>
      <w:lvlText w:val="（%1）"/>
      <w:lvlJc w:val="left"/>
      <w:pPr>
        <w:ind w:left="199"/>
      </w:pPr>
    </w:lvl>
  </w:abstractNum>
  <w:abstractNum w:abstractNumId="5">
    <w:nsid w:val="2A71F634"/>
    <w:multiLevelType w:val="singleLevel"/>
    <w:tmpl w:val="2A71F6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38E78246"/>
    <w:multiLevelType w:val="singleLevel"/>
    <w:tmpl w:val="38E78246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78931998"/>
    <w:multiLevelType w:val="singleLevel"/>
    <w:tmpl w:val="7893199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AD6BF4"/>
    <w:rsid w:val="023A16C8"/>
    <w:rsid w:val="083936F9"/>
    <w:rsid w:val="09E23546"/>
    <w:rsid w:val="0F542E75"/>
    <w:rsid w:val="11C80E96"/>
    <w:rsid w:val="125744F6"/>
    <w:rsid w:val="12BE4BCE"/>
    <w:rsid w:val="13766FC5"/>
    <w:rsid w:val="175504D4"/>
    <w:rsid w:val="1DB64CC8"/>
    <w:rsid w:val="1E620680"/>
    <w:rsid w:val="1E966D88"/>
    <w:rsid w:val="26B510E4"/>
    <w:rsid w:val="29784198"/>
    <w:rsid w:val="2E227591"/>
    <w:rsid w:val="39006B4A"/>
    <w:rsid w:val="3C923D3B"/>
    <w:rsid w:val="3D105466"/>
    <w:rsid w:val="3DCD0ADA"/>
    <w:rsid w:val="3DEC1895"/>
    <w:rsid w:val="45537742"/>
    <w:rsid w:val="46BE25FD"/>
    <w:rsid w:val="49530E7A"/>
    <w:rsid w:val="57E06C27"/>
    <w:rsid w:val="5C6710AC"/>
    <w:rsid w:val="5E9E22A6"/>
    <w:rsid w:val="5EE007AA"/>
    <w:rsid w:val="5EEB49C6"/>
    <w:rsid w:val="60147826"/>
    <w:rsid w:val="67E85141"/>
    <w:rsid w:val="68B54877"/>
    <w:rsid w:val="6BFB68C3"/>
    <w:rsid w:val="70BB5DB3"/>
    <w:rsid w:val="72472A4D"/>
    <w:rsid w:val="792A34F5"/>
    <w:rsid w:val="7AC46414"/>
    <w:rsid w:val="7D3B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table of authorities"/>
    <w:basedOn w:val="1"/>
    <w:next w:val="1"/>
    <w:qFormat/>
    <w:uiPriority w:val="0"/>
    <w:pPr>
      <w:ind w:left="420" w:leftChars="200"/>
    </w:pPr>
  </w:style>
  <w:style w:type="paragraph" w:styleId="8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3335</Words>
  <Characters>3539</Characters>
  <Lines>0</Lines>
  <Paragraphs>0</Paragraphs>
  <TotalTime>11</TotalTime>
  <ScaleCrop>false</ScaleCrop>
  <LinksUpToDate>false</LinksUpToDate>
  <CharactersWithSpaces>3549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2024-05-27T08:33:00Z</dcterms:created>
  <dc:creator>Administrator</dc:creator>
  <cp:lastModifiedBy>wufazhuce</cp:lastModifiedBy>
  <dcterms:modified xsi:type="dcterms:W3CDTF">2025-09-25T06:59:07Z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76260925A9B14FA38EA7569EA902D26D</vt:lpwstr>
  </property>
  <property fmtid="{D5CDD505-2E9C-101B-9397-08002B2CF9AE}" pid="4" name="KSOTemplateDocerSaveRecord">
    <vt:lpwstr>eyJoZGlkIjoiMzMyNjc2OTZjMzc4OTI0OGM4NDIyYjFiMjIwYjFmZDMiLCJ1c2VySWQiOiIyNDA4NDg4NzAifQ==</vt:lpwstr>
  </property>
</Properties>
</file>