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6DCFF1">
      <w:pPr>
        <w:pStyle w:val="12"/>
        <w:jc w:val="center"/>
        <w:rPr>
          <w:sz w:val="56"/>
          <w:szCs w:val="56"/>
        </w:rPr>
      </w:pPr>
    </w:p>
    <w:p w14:paraId="3BDF5AB8">
      <w:pPr>
        <w:pStyle w:val="12"/>
        <w:jc w:val="center"/>
        <w:rPr>
          <w:sz w:val="56"/>
          <w:szCs w:val="56"/>
        </w:rPr>
      </w:pPr>
    </w:p>
    <w:p w14:paraId="60CA4575">
      <w:pPr>
        <w:pStyle w:val="12"/>
        <w:jc w:val="center"/>
        <w:rPr>
          <w:sz w:val="84"/>
          <w:szCs w:val="84"/>
        </w:rPr>
      </w:pPr>
    </w:p>
    <w:p w14:paraId="215EB31D">
      <w:pPr>
        <w:pStyle w:val="12"/>
        <w:jc w:val="center"/>
        <w:rPr>
          <w:sz w:val="84"/>
          <w:szCs w:val="84"/>
        </w:rPr>
      </w:pPr>
    </w:p>
    <w:p w14:paraId="376C8602">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202</w:t>
      </w:r>
      <w:r>
        <w:rPr>
          <w:rFonts w:hint="eastAsia" w:ascii="方正小标宋_GBK" w:hAnsi="方正小标宋_GBK" w:eastAsia="方正小标宋_GBK" w:cs="方正小标宋_GBK"/>
          <w:sz w:val="84"/>
          <w:szCs w:val="84"/>
          <w:lang w:val="en-US" w:eastAsia="zh-CN"/>
        </w:rPr>
        <w:t>4</w:t>
      </w:r>
      <w:r>
        <w:rPr>
          <w:rFonts w:hint="eastAsia" w:ascii="方正小标宋_GBK" w:hAnsi="方正小标宋_GBK" w:eastAsia="方正小标宋_GBK" w:cs="方正小标宋_GBK"/>
          <w:sz w:val="84"/>
          <w:szCs w:val="84"/>
        </w:rPr>
        <w:t>年度</w:t>
      </w:r>
    </w:p>
    <w:p w14:paraId="12E2DFF5">
      <w:pPr>
        <w:pStyle w:val="12"/>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岳阳市卫生计生综合监督</w:t>
      </w:r>
    </w:p>
    <w:p w14:paraId="6934EBE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执法局</w:t>
      </w:r>
      <w:r>
        <w:rPr>
          <w:rFonts w:hint="eastAsia" w:ascii="方正小标宋_GBK" w:hAnsi="方正小标宋_GBK" w:eastAsia="方正小标宋_GBK" w:cs="方正小标宋_GBK"/>
          <w:sz w:val="84"/>
          <w:szCs w:val="84"/>
        </w:rPr>
        <w:t>部门决算</w:t>
      </w:r>
    </w:p>
    <w:p w14:paraId="3A699C16">
      <w:pPr>
        <w:pStyle w:val="12"/>
        <w:jc w:val="center"/>
        <w:rPr>
          <w:rFonts w:hint="eastAsia" w:ascii="方正小标宋_GBK" w:hAnsi="方正小标宋_GBK" w:eastAsia="方正小标宋_GBK" w:cs="方正小标宋_GBK"/>
          <w:sz w:val="56"/>
          <w:szCs w:val="56"/>
        </w:rPr>
      </w:pPr>
    </w:p>
    <w:p w14:paraId="72C8FB58">
      <w:pPr>
        <w:pStyle w:val="12"/>
        <w:jc w:val="center"/>
        <w:rPr>
          <w:sz w:val="56"/>
          <w:szCs w:val="56"/>
        </w:rPr>
      </w:pPr>
    </w:p>
    <w:p w14:paraId="25018D25">
      <w:pPr>
        <w:pStyle w:val="12"/>
        <w:jc w:val="center"/>
        <w:rPr>
          <w:sz w:val="56"/>
          <w:szCs w:val="56"/>
        </w:rPr>
      </w:pPr>
    </w:p>
    <w:p w14:paraId="5EE73A38">
      <w:pPr>
        <w:pStyle w:val="12"/>
        <w:jc w:val="center"/>
        <w:rPr>
          <w:sz w:val="56"/>
          <w:szCs w:val="56"/>
        </w:rPr>
      </w:pPr>
    </w:p>
    <w:p w14:paraId="297571C5">
      <w:pPr>
        <w:pStyle w:val="12"/>
        <w:jc w:val="center"/>
        <w:rPr>
          <w:sz w:val="32"/>
          <w:szCs w:val="32"/>
        </w:rPr>
      </w:pPr>
    </w:p>
    <w:p w14:paraId="08493D1E">
      <w:pPr>
        <w:pStyle w:val="12"/>
        <w:jc w:val="center"/>
        <w:rPr>
          <w:sz w:val="32"/>
          <w:szCs w:val="32"/>
        </w:rPr>
      </w:pPr>
    </w:p>
    <w:p w14:paraId="5BD6E8BD">
      <w:pPr>
        <w:pStyle w:val="12"/>
        <w:jc w:val="center"/>
        <w:rPr>
          <w:sz w:val="32"/>
          <w:szCs w:val="32"/>
        </w:rPr>
      </w:pPr>
    </w:p>
    <w:p w14:paraId="1062A3B4">
      <w:pPr>
        <w:pStyle w:val="12"/>
        <w:jc w:val="center"/>
        <w:rPr>
          <w:sz w:val="32"/>
          <w:szCs w:val="32"/>
        </w:rPr>
      </w:pPr>
    </w:p>
    <w:p w14:paraId="24F3309B">
      <w:pPr>
        <w:pStyle w:val="12"/>
        <w:spacing w:line="500" w:lineRule="exact"/>
        <w:jc w:val="center"/>
        <w:rPr>
          <w:b/>
          <w:sz w:val="36"/>
          <w:szCs w:val="28"/>
        </w:rPr>
      </w:pPr>
      <w:r>
        <w:rPr>
          <w:rFonts w:hint="eastAsia"/>
          <w:b/>
          <w:sz w:val="36"/>
          <w:szCs w:val="28"/>
        </w:rPr>
        <w:t>目录</w:t>
      </w:r>
    </w:p>
    <w:p w14:paraId="6CBD0C22">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第一部分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岳阳市卫生计生综合监督执法局</w:t>
      </w:r>
      <w:r>
        <w:rPr>
          <w:rFonts w:hint="eastAsia" w:ascii="黑体" w:hAnsi="黑体" w:eastAsia="黑体" w:cs="黑体"/>
          <w:b w:val="0"/>
          <w:bCs/>
          <w:sz w:val="28"/>
          <w:szCs w:val="28"/>
        </w:rPr>
        <w:t>单位概况</w:t>
      </w:r>
    </w:p>
    <w:p w14:paraId="060CB1D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一、部门职责</w:t>
      </w:r>
    </w:p>
    <w:p w14:paraId="315E49DA">
      <w:pPr>
        <w:pStyle w:val="12"/>
        <w:spacing w:line="500" w:lineRule="exact"/>
        <w:ind w:firstLine="700" w:firstLineChars="250"/>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rPr>
        <w:t>二、机构设置</w:t>
      </w:r>
      <w:r>
        <w:rPr>
          <w:rFonts w:hint="eastAsia" w:ascii="仿宋_GB2312" w:hAnsi="仿宋_GB2312" w:eastAsia="仿宋_GB2312" w:cs="仿宋_GB2312"/>
          <w:sz w:val="28"/>
          <w:szCs w:val="28"/>
          <w:lang w:eastAsia="zh-CN"/>
        </w:rPr>
        <w:t>及决算单位构成</w:t>
      </w:r>
    </w:p>
    <w:p w14:paraId="3CE431DD">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第二部分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部门决算表</w:t>
      </w:r>
    </w:p>
    <w:p w14:paraId="4B1DE222">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一、收入支出决算总表</w:t>
      </w:r>
    </w:p>
    <w:p w14:paraId="28DAEA9B">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二、收入决算表</w:t>
      </w:r>
    </w:p>
    <w:p w14:paraId="4189E14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三、支出决算表</w:t>
      </w:r>
    </w:p>
    <w:p w14:paraId="0621647E">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四、财政拨款收入支出决算总表</w:t>
      </w:r>
    </w:p>
    <w:p w14:paraId="28E0B171">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五、一般公共预算财政拨款支出决算表</w:t>
      </w:r>
    </w:p>
    <w:p w14:paraId="0A1DA969">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六、一般公共预算财政拨款基本支出决算明细表</w:t>
      </w:r>
    </w:p>
    <w:p w14:paraId="62E9A333">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七、政府性基金预算财政拨款收入支出决算表</w:t>
      </w:r>
    </w:p>
    <w:p w14:paraId="316661B6">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八、国有资本经营预算财政拨款支出决算表</w:t>
      </w:r>
    </w:p>
    <w:p w14:paraId="23827588">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九、财政拨款“三公”经费支出决算表</w:t>
      </w:r>
    </w:p>
    <w:p w14:paraId="69B4707F">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第三部分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部门决算情况说明</w:t>
      </w:r>
    </w:p>
    <w:p w14:paraId="30D2819C">
      <w:pPr>
        <w:pStyle w:val="12"/>
        <w:spacing w:line="500" w:lineRule="exact"/>
        <w:ind w:firstLine="700" w:firstLineChars="250"/>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一、收入支出决算总体情况说明</w:t>
      </w:r>
    </w:p>
    <w:p w14:paraId="2F99AFEC">
      <w:pPr>
        <w:spacing w:line="500" w:lineRule="exact"/>
        <w:ind w:firstLine="700" w:firstLineChars="250"/>
        <w:jc w:val="lef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二、收入决算情况说明</w:t>
      </w:r>
    </w:p>
    <w:p w14:paraId="69796A8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三、支出决算情况说明</w:t>
      </w:r>
    </w:p>
    <w:p w14:paraId="42F5763D">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四、财政拨款收入支出决算总体情况说明</w:t>
      </w:r>
    </w:p>
    <w:p w14:paraId="4551B6B2">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五、一般公共预算财政拨款支出决算情况说明</w:t>
      </w:r>
    </w:p>
    <w:p w14:paraId="0BC2CE30">
      <w:pPr>
        <w:autoSpaceDE w:val="0"/>
        <w:autoSpaceDN w:val="0"/>
        <w:adjustRightInd w:val="0"/>
        <w:spacing w:line="500" w:lineRule="exact"/>
        <w:ind w:firstLine="700" w:firstLineChars="250"/>
        <w:jc w:val="left"/>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六、一般公共预算财政拨款基本支出决算情况说明</w:t>
      </w:r>
    </w:p>
    <w:p w14:paraId="11D85543">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七、政府性基金预算收入支出决算情况</w:t>
      </w:r>
    </w:p>
    <w:p w14:paraId="5F6B554B">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highlight w:val="yellow"/>
        </w:rPr>
      </w:pPr>
      <w:r>
        <w:rPr>
          <w:rFonts w:hint="eastAsia" w:ascii="仿宋_GB2312" w:hAnsi="仿宋_GB2312" w:eastAsia="仿宋_GB2312" w:cs="仿宋_GB2312"/>
          <w:color w:val="000000"/>
          <w:kern w:val="0"/>
          <w:sz w:val="28"/>
          <w:szCs w:val="28"/>
          <w:highlight w:val="none"/>
        </w:rPr>
        <w:t>八、</w:t>
      </w:r>
      <w:r>
        <w:rPr>
          <w:rFonts w:hint="eastAsia" w:ascii="仿宋_GB2312" w:hAnsi="仿宋_GB2312" w:eastAsia="仿宋_GB2312" w:cs="仿宋_GB2312"/>
          <w:sz w:val="28"/>
          <w:szCs w:val="28"/>
          <w:highlight w:val="none"/>
        </w:rPr>
        <w:t>国有资本经营预算财政拨款支出决算</w:t>
      </w:r>
      <w:r>
        <w:rPr>
          <w:rFonts w:hint="eastAsia" w:ascii="仿宋_GB2312" w:hAnsi="仿宋_GB2312" w:eastAsia="仿宋_GB2312" w:cs="仿宋_GB2312"/>
          <w:sz w:val="28"/>
          <w:szCs w:val="28"/>
          <w:highlight w:val="none"/>
          <w:lang w:eastAsia="zh-CN"/>
        </w:rPr>
        <w:t>情况</w:t>
      </w:r>
    </w:p>
    <w:p w14:paraId="71D9102A">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lang w:eastAsia="zh-CN"/>
        </w:rPr>
      </w:pPr>
      <w:r>
        <w:rPr>
          <w:rFonts w:hint="eastAsia" w:ascii="仿宋_GB2312" w:hAnsi="仿宋_GB2312" w:eastAsia="仿宋_GB2312" w:cs="仿宋_GB2312"/>
          <w:color w:val="000000"/>
          <w:kern w:val="0"/>
          <w:sz w:val="28"/>
          <w:szCs w:val="28"/>
        </w:rPr>
        <w:t>九、财政拨款三公经费支出决算情况说明</w:t>
      </w:r>
    </w:p>
    <w:p w14:paraId="371B64F5">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十、关于机关运行经费支出说明</w:t>
      </w:r>
    </w:p>
    <w:p w14:paraId="1624E73C">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color w:val="000000"/>
          <w:kern w:val="0"/>
          <w:sz w:val="28"/>
          <w:szCs w:val="28"/>
        </w:rPr>
        <w:t>十一、一般性支出情况说明</w:t>
      </w:r>
    </w:p>
    <w:p w14:paraId="6C86A3EF">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jc w:val="left"/>
        <w:textAlignment w:val="auto"/>
        <w:rPr>
          <w:rFonts w:hint="eastAsia" w:ascii="仿宋_GB2312" w:hAnsi="仿宋_GB2312" w:eastAsia="仿宋_GB2312" w:cs="仿宋_GB2312"/>
          <w:color w:val="000000"/>
          <w:kern w:val="0"/>
          <w:sz w:val="28"/>
          <w:szCs w:val="28"/>
        </w:rPr>
      </w:pPr>
      <w:r>
        <w:rPr>
          <w:rFonts w:hint="eastAsia" w:ascii="仿宋_GB2312" w:hAnsi="仿宋_GB2312" w:eastAsia="仿宋_GB2312" w:cs="仿宋_GB2312"/>
          <w:sz w:val="28"/>
          <w:szCs w:val="28"/>
        </w:rPr>
        <w:t>十二、</w:t>
      </w:r>
      <w:r>
        <w:rPr>
          <w:rFonts w:hint="eastAsia" w:ascii="仿宋_GB2312" w:hAnsi="仿宋_GB2312" w:eastAsia="仿宋_GB2312" w:cs="仿宋_GB2312"/>
          <w:color w:val="000000"/>
          <w:kern w:val="0"/>
          <w:sz w:val="28"/>
          <w:szCs w:val="28"/>
        </w:rPr>
        <w:t>关于政府采购支出说明</w:t>
      </w:r>
    </w:p>
    <w:p w14:paraId="5E15A642">
      <w:pPr>
        <w:keepNext w:val="0"/>
        <w:keepLines w:val="0"/>
        <w:pageBreakBefore w:val="0"/>
        <w:widowControl w:val="0"/>
        <w:kinsoku/>
        <w:wordWrap/>
        <w:overflowPunct/>
        <w:topLinePunct w:val="0"/>
        <w:autoSpaceDE w:val="0"/>
        <w:autoSpaceDN w:val="0"/>
        <w:bidi w:val="0"/>
        <w:adjustRightInd w:val="0"/>
        <w:snapToGrid/>
        <w:spacing w:line="480" w:lineRule="exact"/>
        <w:ind w:firstLine="700" w:firstLineChars="250"/>
        <w:textAlignment w:val="auto"/>
        <w:rPr>
          <w:rFonts w:hint="eastAsia" w:ascii="仿宋_GB2312" w:hAnsi="仿宋_GB2312" w:eastAsia="仿宋_GB2312" w:cs="仿宋_GB2312"/>
          <w:color w:val="000000"/>
          <w:kern w:val="0"/>
          <w:sz w:val="28"/>
          <w:szCs w:val="28"/>
          <w:lang w:val="en-US" w:eastAsia="zh-CN" w:bidi="ar-SA"/>
        </w:rPr>
      </w:pPr>
      <w:r>
        <w:rPr>
          <w:rFonts w:hint="eastAsia" w:ascii="仿宋_GB2312" w:hAnsi="仿宋_GB2312" w:eastAsia="仿宋_GB2312" w:cs="仿宋_GB2312"/>
          <w:color w:val="000000"/>
          <w:kern w:val="0"/>
          <w:sz w:val="28"/>
          <w:szCs w:val="28"/>
          <w:lang w:val="en-US" w:eastAsia="zh-CN" w:bidi="ar-SA"/>
        </w:rPr>
        <w:t>十三、关于国有资产占用情况说明</w:t>
      </w:r>
    </w:p>
    <w:p w14:paraId="5BD7D26C">
      <w:pPr>
        <w:pStyle w:val="12"/>
        <w:spacing w:line="500" w:lineRule="exact"/>
        <w:ind w:firstLine="700" w:firstLineChars="250"/>
        <w:rPr>
          <w:rFonts w:hint="eastAsia" w:ascii="仿宋_GB2312" w:hAnsi="仿宋_GB2312" w:eastAsia="仿宋_GB2312" w:cs="仿宋_GB2312"/>
          <w:sz w:val="28"/>
          <w:szCs w:val="28"/>
          <w:highlight w:val="none"/>
        </w:rPr>
      </w:pPr>
      <w:r>
        <w:rPr>
          <w:rFonts w:hint="eastAsia" w:ascii="仿宋_GB2312" w:hAnsi="仿宋_GB2312" w:eastAsia="仿宋_GB2312" w:cs="仿宋_GB2312"/>
          <w:color w:val="000000"/>
          <w:kern w:val="0"/>
          <w:sz w:val="28"/>
          <w:szCs w:val="28"/>
          <w:highlight w:val="none"/>
          <w:lang w:val="en-US" w:eastAsia="zh-CN" w:bidi="ar-SA"/>
        </w:rPr>
        <w:t>十四、</w:t>
      </w:r>
      <w:r>
        <w:rPr>
          <w:rFonts w:hint="eastAsia" w:ascii="仿宋_GB2312" w:hAnsi="仿宋_GB2312" w:eastAsia="仿宋_GB2312" w:cs="仿宋_GB2312"/>
          <w:sz w:val="28"/>
          <w:szCs w:val="28"/>
          <w:highlight w:val="none"/>
        </w:rPr>
        <w:t>关于</w:t>
      </w:r>
      <w:r>
        <w:rPr>
          <w:rFonts w:hint="default" w:ascii="Times New Roman" w:hAnsi="Times New Roman" w:eastAsia="仿宋_GB2312" w:cs="Times New Roman"/>
          <w:sz w:val="28"/>
          <w:szCs w:val="28"/>
          <w:highlight w:val="none"/>
        </w:rPr>
        <w:t>202</w:t>
      </w:r>
      <w:r>
        <w:rPr>
          <w:rFonts w:hint="eastAsia" w:ascii="Times New Roman" w:hAnsi="Times New Roman" w:eastAsia="仿宋_GB2312" w:cs="Times New Roman"/>
          <w:sz w:val="28"/>
          <w:szCs w:val="28"/>
          <w:highlight w:val="none"/>
          <w:lang w:val="en-US" w:eastAsia="zh-CN"/>
        </w:rPr>
        <w:t>4</w:t>
      </w:r>
      <w:r>
        <w:rPr>
          <w:rFonts w:hint="eastAsia" w:ascii="仿宋_GB2312" w:hAnsi="仿宋_GB2312" w:eastAsia="仿宋_GB2312" w:cs="仿宋_GB2312"/>
          <w:sz w:val="28"/>
          <w:szCs w:val="28"/>
          <w:highlight w:val="none"/>
        </w:rPr>
        <w:t>年度</w:t>
      </w:r>
      <w:r>
        <w:rPr>
          <w:rFonts w:hint="eastAsia" w:ascii="仿宋_GB2312" w:hAnsi="仿宋_GB2312" w:eastAsia="仿宋_GB2312" w:cs="仿宋_GB2312"/>
          <w:sz w:val="28"/>
          <w:szCs w:val="28"/>
          <w:highlight w:val="none"/>
          <w:lang w:eastAsia="zh-CN"/>
        </w:rPr>
        <w:t>预算</w:t>
      </w:r>
      <w:r>
        <w:rPr>
          <w:rFonts w:hint="eastAsia" w:ascii="仿宋_GB2312" w:hAnsi="仿宋_GB2312" w:eastAsia="仿宋_GB2312" w:cs="仿宋_GB2312"/>
          <w:sz w:val="28"/>
          <w:szCs w:val="28"/>
          <w:highlight w:val="none"/>
        </w:rPr>
        <w:t>绩效</w:t>
      </w:r>
      <w:r>
        <w:rPr>
          <w:rFonts w:hint="eastAsia" w:ascii="仿宋_GB2312" w:hAnsi="仿宋_GB2312" w:eastAsia="仿宋_GB2312" w:cs="仿宋_GB2312"/>
          <w:sz w:val="28"/>
          <w:szCs w:val="28"/>
          <w:highlight w:val="none"/>
          <w:lang w:eastAsia="zh-CN"/>
        </w:rPr>
        <w:t>管理</w:t>
      </w:r>
      <w:r>
        <w:rPr>
          <w:rFonts w:hint="eastAsia" w:ascii="仿宋_GB2312" w:hAnsi="仿宋_GB2312" w:eastAsia="仿宋_GB2312" w:cs="仿宋_GB2312"/>
          <w:sz w:val="28"/>
          <w:szCs w:val="28"/>
          <w:highlight w:val="none"/>
        </w:rPr>
        <w:t>情况的说明</w:t>
      </w:r>
    </w:p>
    <w:p w14:paraId="51852483">
      <w:pPr>
        <w:pStyle w:val="12"/>
        <w:spacing w:line="500" w:lineRule="exact"/>
        <w:rPr>
          <w:rFonts w:hint="eastAsia" w:ascii="黑体" w:hAnsi="黑体" w:eastAsia="黑体" w:cs="黑体"/>
          <w:b w:val="0"/>
          <w:bCs/>
          <w:sz w:val="28"/>
          <w:szCs w:val="28"/>
        </w:rPr>
      </w:pPr>
      <w:r>
        <w:rPr>
          <w:rFonts w:hint="eastAsia" w:ascii="黑体" w:hAnsi="黑体" w:eastAsia="黑体" w:cs="黑体"/>
          <w:b w:val="0"/>
          <w:bCs/>
          <w:sz w:val="28"/>
          <w:szCs w:val="28"/>
        </w:rPr>
        <w:t>第四部分</w:t>
      </w:r>
      <w:r>
        <w:rPr>
          <w:rFonts w:hint="eastAsia" w:ascii="黑体" w:hAnsi="黑体" w:eastAsia="黑体" w:cs="黑体"/>
          <w:b w:val="0"/>
          <w:bCs/>
          <w:sz w:val="28"/>
          <w:szCs w:val="28"/>
          <w:lang w:val="en-US" w:eastAsia="zh-CN"/>
        </w:rPr>
        <w:t xml:space="preserve"> </w:t>
      </w:r>
      <w:r>
        <w:rPr>
          <w:rFonts w:hint="eastAsia" w:ascii="黑体" w:hAnsi="黑体" w:eastAsia="黑体" w:cs="黑体"/>
          <w:b w:val="0"/>
          <w:bCs/>
          <w:sz w:val="28"/>
          <w:szCs w:val="28"/>
        </w:rPr>
        <w:t>名词解释</w:t>
      </w:r>
    </w:p>
    <w:p w14:paraId="7D866A9C">
      <w:pPr>
        <w:pStyle w:val="12"/>
        <w:spacing w:line="500" w:lineRule="exact"/>
        <w:rPr>
          <w:rFonts w:hint="eastAsia" w:ascii="黑体" w:hAnsi="黑体" w:eastAsia="黑体" w:cs="黑体"/>
          <w:b w:val="0"/>
          <w:bCs/>
          <w:sz w:val="28"/>
          <w:szCs w:val="28"/>
          <w:lang w:eastAsia="zh-CN"/>
        </w:rPr>
      </w:pPr>
      <w:r>
        <w:rPr>
          <w:rFonts w:hint="eastAsia" w:ascii="黑体" w:hAnsi="黑体" w:eastAsia="黑体" w:cs="黑体"/>
          <w:b w:val="0"/>
          <w:bCs/>
          <w:sz w:val="28"/>
          <w:szCs w:val="28"/>
        </w:rPr>
        <w:t>第</w:t>
      </w:r>
      <w:r>
        <w:rPr>
          <w:rFonts w:hint="eastAsia" w:hAnsi="黑体" w:cs="黑体"/>
          <w:b w:val="0"/>
          <w:bCs/>
          <w:sz w:val="28"/>
          <w:szCs w:val="28"/>
          <w:lang w:eastAsia="zh-CN"/>
        </w:rPr>
        <w:t>五</w:t>
      </w:r>
      <w:r>
        <w:rPr>
          <w:rFonts w:hint="eastAsia" w:ascii="黑体" w:hAnsi="黑体" w:eastAsia="黑体" w:cs="黑体"/>
          <w:b w:val="0"/>
          <w:bCs/>
          <w:sz w:val="28"/>
          <w:szCs w:val="28"/>
        </w:rPr>
        <w:t>部分</w:t>
      </w:r>
      <w:r>
        <w:rPr>
          <w:rFonts w:hint="eastAsia" w:ascii="黑体" w:hAnsi="黑体" w:eastAsia="黑体" w:cs="黑体"/>
          <w:b w:val="0"/>
          <w:bCs/>
          <w:sz w:val="28"/>
          <w:szCs w:val="28"/>
          <w:lang w:val="en-US" w:eastAsia="zh-CN"/>
        </w:rPr>
        <w:t xml:space="preserve"> </w:t>
      </w:r>
      <w:r>
        <w:rPr>
          <w:rFonts w:hint="eastAsia" w:hAnsi="黑体" w:cs="黑体"/>
          <w:b w:val="0"/>
          <w:bCs/>
          <w:sz w:val="28"/>
          <w:szCs w:val="28"/>
          <w:lang w:eastAsia="zh-CN"/>
        </w:rPr>
        <w:t>附件</w:t>
      </w:r>
    </w:p>
    <w:p w14:paraId="2E7F14A9">
      <w:pPr>
        <w:pStyle w:val="12"/>
        <w:jc w:val="center"/>
        <w:rPr>
          <w:rFonts w:hint="eastAsia" w:ascii="方正小标宋_GBK" w:hAnsi="方正小标宋_GBK" w:eastAsia="方正小标宋_GBK" w:cs="方正小标宋_GBK"/>
          <w:sz w:val="84"/>
          <w:szCs w:val="84"/>
        </w:rPr>
      </w:pPr>
    </w:p>
    <w:p w14:paraId="1095DEAB">
      <w:pPr>
        <w:pStyle w:val="12"/>
        <w:jc w:val="center"/>
        <w:rPr>
          <w:rFonts w:hint="eastAsia" w:ascii="方正小标宋_GBK" w:hAnsi="方正小标宋_GBK" w:eastAsia="方正小标宋_GBK" w:cs="方正小标宋_GBK"/>
          <w:sz w:val="84"/>
          <w:szCs w:val="84"/>
        </w:rPr>
      </w:pPr>
    </w:p>
    <w:p w14:paraId="0DEEC249">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 xml:space="preserve">第一部分 </w:t>
      </w:r>
    </w:p>
    <w:p w14:paraId="5C6A94F8">
      <w:pPr>
        <w:pStyle w:val="12"/>
        <w:jc w:val="center"/>
        <w:rPr>
          <w:rFonts w:hint="eastAsia" w:ascii="方正小标宋_GBK" w:hAnsi="方正小标宋_GBK" w:eastAsia="方正小标宋_GBK" w:cs="方正小标宋_GBK"/>
          <w:sz w:val="84"/>
          <w:szCs w:val="84"/>
        </w:rPr>
      </w:pPr>
    </w:p>
    <w:p w14:paraId="6C7A0170">
      <w:pPr>
        <w:jc w:val="center"/>
        <w:rPr>
          <w:rFonts w:hint="eastAsia" w:ascii="方正小标宋_GBK" w:hAnsi="方正小标宋_GBK" w:eastAsia="方正小标宋_GBK" w:cs="方正小标宋_GBK"/>
          <w:sz w:val="84"/>
          <w:szCs w:val="84"/>
          <w:lang w:eastAsia="zh-CN"/>
        </w:rPr>
      </w:pPr>
      <w:r>
        <w:rPr>
          <w:rFonts w:hint="eastAsia" w:ascii="方正小标宋_GBK" w:hAnsi="方正小标宋_GBK" w:eastAsia="方正小标宋_GBK" w:cs="方正小标宋_GBK"/>
          <w:sz w:val="84"/>
          <w:szCs w:val="84"/>
          <w:lang w:eastAsia="zh-CN"/>
        </w:rPr>
        <w:t>岳阳市卫生计生综合监督</w:t>
      </w:r>
    </w:p>
    <w:p w14:paraId="5EF69A9D">
      <w:pPr>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lang w:eastAsia="zh-CN"/>
        </w:rPr>
        <w:t>执法局</w:t>
      </w:r>
      <w:r>
        <w:rPr>
          <w:rFonts w:hint="eastAsia" w:ascii="方正小标宋_GBK" w:hAnsi="方正小标宋_GBK" w:eastAsia="方正小标宋_GBK" w:cs="方正小标宋_GBK"/>
          <w:sz w:val="84"/>
          <w:szCs w:val="84"/>
        </w:rPr>
        <w:t>单位概况</w:t>
      </w:r>
    </w:p>
    <w:p w14:paraId="77A0C778">
      <w:pPr>
        <w:pStyle w:val="2"/>
        <w:rPr>
          <w:rFonts w:hint="eastAsia" w:ascii="方正小标宋_GBK" w:hAnsi="方正小标宋_GBK" w:eastAsia="方正小标宋_GBK" w:cs="方正小标宋_GBK"/>
          <w:sz w:val="84"/>
          <w:szCs w:val="84"/>
        </w:rPr>
      </w:pPr>
    </w:p>
    <w:p w14:paraId="397AC3FB">
      <w:pPr>
        <w:pStyle w:val="3"/>
        <w:rPr>
          <w:rFonts w:hint="eastAsia" w:ascii="方正小标宋_GBK" w:hAnsi="方正小标宋_GBK" w:eastAsia="方正小标宋_GBK" w:cs="方正小标宋_GBK"/>
          <w:sz w:val="84"/>
          <w:szCs w:val="84"/>
        </w:rPr>
      </w:pPr>
    </w:p>
    <w:p w14:paraId="13F2C40A">
      <w:pPr>
        <w:rPr>
          <w:rFonts w:hint="eastAsia" w:ascii="方正小标宋_GBK" w:hAnsi="方正小标宋_GBK" w:eastAsia="方正小标宋_GBK" w:cs="方正小标宋_GBK"/>
          <w:sz w:val="84"/>
          <w:szCs w:val="84"/>
        </w:rPr>
      </w:pPr>
    </w:p>
    <w:p w14:paraId="128B0AE2">
      <w:pPr>
        <w:pStyle w:val="2"/>
        <w:rPr>
          <w:rFonts w:hint="eastAsia" w:ascii="方正小标宋_GBK" w:hAnsi="方正小标宋_GBK" w:eastAsia="方正小标宋_GBK" w:cs="方正小标宋_GBK"/>
          <w:sz w:val="84"/>
          <w:szCs w:val="84"/>
        </w:rPr>
      </w:pPr>
    </w:p>
    <w:p w14:paraId="55E857AF">
      <w:pPr>
        <w:pStyle w:val="13"/>
        <w:numPr>
          <w:ilvl w:val="0"/>
          <w:numId w:val="1"/>
        </w:numPr>
        <w:ind w:firstLineChars="0"/>
        <w:jc w:val="left"/>
        <w:rPr>
          <w:rFonts w:hint="eastAsia" w:ascii="黑体" w:hAnsi="黑体" w:eastAsia="黑体" w:cs="黑体"/>
          <w:b w:val="0"/>
          <w:bCs w:val="0"/>
          <w:sz w:val="32"/>
          <w:szCs w:val="32"/>
        </w:rPr>
      </w:pPr>
      <w:r>
        <w:rPr>
          <w:rFonts w:hint="eastAsia" w:ascii="黑体" w:hAnsi="黑体" w:eastAsia="黑体" w:cs="黑体"/>
          <w:b w:val="0"/>
          <w:bCs w:val="0"/>
          <w:sz w:val="32"/>
          <w:szCs w:val="32"/>
        </w:rPr>
        <w:t>部门职责</w:t>
      </w:r>
    </w:p>
    <w:p w14:paraId="0292BE0D">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仿宋_GB2312" w:hAnsi="仿宋_GB2312" w:eastAsia="仿宋_GB2312" w:cs="仿宋_GB2312"/>
          <w:kern w:val="0"/>
          <w:sz w:val="32"/>
          <w:szCs w:val="32"/>
          <w:lang w:eastAsia="zh-CN"/>
        </w:rPr>
      </w:pPr>
      <w:r>
        <w:rPr>
          <w:rFonts w:hint="eastAsia" w:ascii="仿宋_GB2312" w:hAnsi="仿宋_GB2312" w:eastAsia="仿宋_GB2312" w:cs="仿宋_GB2312"/>
          <w:kern w:val="0"/>
          <w:sz w:val="32"/>
          <w:szCs w:val="32"/>
          <w:lang w:val="en-US" w:eastAsia="zh-CN"/>
        </w:rPr>
        <w:t xml:space="preserve">(一)贯彻执行国家、省卫生和计划生育法律、法规、规章和方针、政策，拟订全市卫生计生综合监督执法工作规划、 年度计划，并负责组织实施。 </w:t>
      </w:r>
    </w:p>
    <w:p w14:paraId="3A76D320">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（二）</w:t>
      </w:r>
      <w:r>
        <w:rPr>
          <w:rFonts w:hint="default" w:ascii="Times New Roman" w:hAnsi="Times New Roman" w:eastAsia="仿宋_GB2312" w:cs="仿宋_GB2312"/>
          <w:kern w:val="0"/>
          <w:sz w:val="32"/>
          <w:szCs w:val="32"/>
          <w:lang w:val="en-US" w:eastAsia="zh-CN"/>
        </w:rPr>
        <w:t>负责管理权限内卫生、计划生育的综合监督执法和稽查的具体工作；对下级卫生计生综合监督执法工作进行指导和监督检查</w:t>
      </w:r>
      <w:r>
        <w:rPr>
          <w:rFonts w:hint="eastAsia" w:ascii="Times New Roman" w:hAnsi="Times New Roman" w:eastAsia="仿宋_GB2312" w:cs="仿宋_GB2312"/>
          <w:kern w:val="0"/>
          <w:sz w:val="32"/>
          <w:szCs w:val="32"/>
          <w:lang w:val="en-US" w:eastAsia="zh-CN"/>
        </w:rPr>
        <w:t>。</w:t>
      </w:r>
    </w:p>
    <w:p w14:paraId="5EB5015A">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（三）负责全市卫生、</w:t>
      </w:r>
      <w:r>
        <w:rPr>
          <w:rFonts w:hint="default" w:ascii="Times New Roman" w:hAnsi="Times New Roman" w:eastAsia="仿宋_GB2312" w:cs="仿宋_GB2312"/>
          <w:kern w:val="0"/>
          <w:sz w:val="32"/>
          <w:szCs w:val="32"/>
          <w:lang w:val="en-US" w:eastAsia="zh-CN"/>
        </w:rPr>
        <w:t>计划生育大案要案和跨区域案件的依法查处</w:t>
      </w:r>
      <w:r>
        <w:rPr>
          <w:rFonts w:hint="eastAsia" w:ascii="Times New Roman" w:hAnsi="Times New Roman" w:eastAsia="仿宋_GB2312" w:cs="仿宋_GB2312"/>
          <w:kern w:val="0"/>
          <w:sz w:val="32"/>
          <w:szCs w:val="32"/>
          <w:lang w:val="en-US" w:eastAsia="zh-CN"/>
        </w:rPr>
        <w:t>。</w:t>
      </w:r>
    </w:p>
    <w:p w14:paraId="1E6A5171">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（四）</w:t>
      </w:r>
      <w:r>
        <w:rPr>
          <w:rFonts w:hint="default" w:ascii="Times New Roman" w:hAnsi="Times New Roman" w:eastAsia="仿宋_GB2312" w:cs="仿宋_GB2312"/>
          <w:kern w:val="0"/>
          <w:sz w:val="32"/>
          <w:szCs w:val="32"/>
          <w:lang w:val="en-US" w:eastAsia="zh-CN"/>
        </w:rPr>
        <w:t>负责组织与指导全市开展对各类医疗机构（含中医医疗机构）、采供血机构及其从业人员的执业活动进行监督和执法，牵头开展全市非法行医、非法采供血的专项整治工作</w:t>
      </w:r>
      <w:r>
        <w:rPr>
          <w:rFonts w:hint="eastAsia" w:ascii="Times New Roman" w:hAnsi="Times New Roman" w:eastAsia="仿宋_GB2312" w:cs="仿宋_GB2312"/>
          <w:kern w:val="0"/>
          <w:sz w:val="32"/>
          <w:szCs w:val="32"/>
          <w:lang w:val="en-US" w:eastAsia="zh-CN"/>
        </w:rPr>
        <w:t>。</w:t>
      </w:r>
    </w:p>
    <w:p w14:paraId="040B4F9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（五）</w:t>
      </w:r>
      <w:r>
        <w:rPr>
          <w:rFonts w:hint="default" w:ascii="Times New Roman" w:hAnsi="Times New Roman" w:eastAsia="仿宋_GB2312" w:cs="仿宋_GB2312"/>
          <w:kern w:val="0"/>
          <w:sz w:val="32"/>
          <w:szCs w:val="32"/>
          <w:lang w:val="en-US" w:eastAsia="zh-CN"/>
        </w:rPr>
        <w:t>负责组织与指导全市开展对母婴保健机构、计划</w:t>
      </w:r>
      <w:r>
        <w:rPr>
          <w:rFonts w:hint="eastAsia" w:ascii="Times New Roman" w:hAnsi="Times New Roman" w:eastAsia="仿宋_GB2312" w:cs="仿宋_GB2312"/>
          <w:kern w:val="0"/>
          <w:sz w:val="32"/>
          <w:szCs w:val="32"/>
          <w:lang w:val="en-US" w:eastAsia="zh-CN"/>
        </w:rPr>
        <w:t>生</w:t>
      </w:r>
      <w:r>
        <w:rPr>
          <w:rFonts w:hint="default" w:ascii="Times New Roman" w:hAnsi="Times New Roman" w:eastAsia="仿宋_GB2312" w:cs="仿宋_GB2312"/>
          <w:kern w:val="0"/>
          <w:sz w:val="32"/>
          <w:szCs w:val="32"/>
          <w:lang w:val="en-US" w:eastAsia="zh-CN"/>
        </w:rPr>
        <w:t>育技术服务机构及其从业人员的执业活动进行监督和</w:t>
      </w:r>
      <w:r>
        <w:rPr>
          <w:rFonts w:hint="eastAsia" w:ascii="Times New Roman" w:hAnsi="Times New Roman" w:eastAsia="仿宋_GB2312" w:cs="仿宋_GB2312"/>
          <w:kern w:val="0"/>
          <w:sz w:val="32"/>
          <w:szCs w:val="32"/>
          <w:lang w:val="en-US" w:eastAsia="zh-CN"/>
        </w:rPr>
        <w:t>执法；</w:t>
      </w:r>
      <w:r>
        <w:rPr>
          <w:rFonts w:hint="default" w:ascii="Times New Roman" w:hAnsi="Times New Roman" w:eastAsia="仿宋_GB2312" w:cs="仿宋_GB2312"/>
          <w:kern w:val="0"/>
          <w:sz w:val="32"/>
          <w:szCs w:val="32"/>
          <w:lang w:val="en-US" w:eastAsia="zh-CN"/>
        </w:rPr>
        <w:t>组织与指导全市开展人类辅助生殖技术、专项诊疗技术、人类精子库的监督和执法；组织和督办全市计划生育重大案件、利用超声技术和其他技术手段进行非医学需要的胎儿性别鉴定以及非医学需要的选择性别的人工终止妊娠（以下简称“两非”）案件的依法查处；对全市社会抚养费征收行为进行监督</w:t>
      </w:r>
      <w:r>
        <w:rPr>
          <w:rFonts w:hint="eastAsia" w:ascii="Times New Roman" w:hAnsi="Times New Roman" w:eastAsia="仿宋_GB2312" w:cs="仿宋_GB2312"/>
          <w:kern w:val="0"/>
          <w:sz w:val="32"/>
          <w:szCs w:val="32"/>
          <w:lang w:val="en-US" w:eastAsia="zh-CN"/>
        </w:rPr>
        <w:t>。</w:t>
      </w:r>
    </w:p>
    <w:p w14:paraId="77EA5ACE">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（六）</w:t>
      </w:r>
      <w:r>
        <w:rPr>
          <w:rFonts w:hint="default" w:ascii="Times New Roman" w:hAnsi="Times New Roman" w:eastAsia="仿宋_GB2312" w:cs="仿宋_GB2312"/>
          <w:kern w:val="0"/>
          <w:sz w:val="32"/>
          <w:szCs w:val="32"/>
          <w:lang w:val="en-US" w:eastAsia="zh-CN"/>
        </w:rPr>
        <w:t>负责组织与指导全市开展对公共场所卫生、学校卫生、生活饮用水卫生、消毒卫生、职业卫生、放射卫生及传染病防治的监督和执法</w:t>
      </w:r>
      <w:r>
        <w:rPr>
          <w:rFonts w:hint="eastAsia" w:ascii="Times New Roman" w:hAnsi="Times New Roman" w:eastAsia="仿宋_GB2312" w:cs="仿宋_GB2312"/>
          <w:kern w:val="0"/>
          <w:sz w:val="32"/>
          <w:szCs w:val="32"/>
          <w:lang w:val="en-US" w:eastAsia="zh-CN"/>
        </w:rPr>
        <w:t>。</w:t>
      </w:r>
    </w:p>
    <w:p w14:paraId="63093ED7">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（七）</w:t>
      </w:r>
      <w:r>
        <w:rPr>
          <w:rFonts w:hint="default" w:ascii="Times New Roman" w:hAnsi="Times New Roman" w:eastAsia="仿宋_GB2312" w:cs="仿宋_GB2312"/>
          <w:kern w:val="0"/>
          <w:sz w:val="32"/>
          <w:szCs w:val="32"/>
          <w:lang w:val="en-US" w:eastAsia="zh-CN"/>
        </w:rPr>
        <w:t>负责对疾病预防控制机构、医疗机构、采供血机构的传染病防治工作进行监督检查；对消毒产品及涉及饮用</w:t>
      </w:r>
      <w:r>
        <w:rPr>
          <w:rFonts w:hint="eastAsia" w:ascii="Times New Roman" w:hAnsi="Times New Roman" w:eastAsia="仿宋_GB2312" w:cs="仿宋_GB2312"/>
          <w:kern w:val="0"/>
          <w:sz w:val="32"/>
          <w:szCs w:val="32"/>
          <w:lang w:val="en-US" w:eastAsia="zh-CN"/>
        </w:rPr>
        <w:t>水</w:t>
      </w:r>
      <w:r>
        <w:rPr>
          <w:rFonts w:hint="default" w:ascii="Times New Roman" w:hAnsi="Times New Roman" w:eastAsia="仿宋_GB2312" w:cs="仿宋_GB2312"/>
          <w:kern w:val="0"/>
          <w:sz w:val="32"/>
          <w:szCs w:val="32"/>
          <w:lang w:val="en-US" w:eastAsia="zh-CN"/>
        </w:rPr>
        <w:t>卫生安全的产品进行监督检查；对传染病菌种、毒种和传染病监测样本管理情况进行监督检查</w:t>
      </w:r>
      <w:r>
        <w:rPr>
          <w:rFonts w:hint="eastAsia" w:ascii="Times New Roman" w:hAnsi="Times New Roman" w:eastAsia="仿宋_GB2312" w:cs="仿宋_GB2312"/>
          <w:kern w:val="0"/>
          <w:sz w:val="32"/>
          <w:szCs w:val="32"/>
          <w:lang w:val="en-US" w:eastAsia="zh-CN"/>
        </w:rPr>
        <w:t>。</w:t>
      </w:r>
    </w:p>
    <w:p w14:paraId="109DC7AC">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（八）</w:t>
      </w:r>
      <w:r>
        <w:rPr>
          <w:rFonts w:hint="default" w:ascii="Times New Roman" w:hAnsi="Times New Roman" w:eastAsia="仿宋_GB2312" w:cs="仿宋_GB2312"/>
          <w:kern w:val="0"/>
          <w:sz w:val="32"/>
          <w:szCs w:val="32"/>
          <w:lang w:val="en-US" w:eastAsia="zh-CN"/>
        </w:rPr>
        <w:t>开展食品安全标准的跟踪评价和宣传培训</w:t>
      </w:r>
      <w:r>
        <w:rPr>
          <w:rFonts w:hint="eastAsia" w:ascii="Times New Roman" w:hAnsi="Times New Roman" w:eastAsia="仿宋_GB2312" w:cs="仿宋_GB2312"/>
          <w:kern w:val="0"/>
          <w:sz w:val="32"/>
          <w:szCs w:val="32"/>
          <w:lang w:val="en-US" w:eastAsia="zh-CN"/>
        </w:rPr>
        <w:t>。</w:t>
      </w:r>
    </w:p>
    <w:p w14:paraId="1CC5BD73">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（九）受理有关卫生和计划生育的举报投诉，依法对举报</w:t>
      </w:r>
      <w:r>
        <w:rPr>
          <w:rFonts w:hint="default" w:ascii="Times New Roman" w:hAnsi="Times New Roman" w:eastAsia="仿宋_GB2312" w:cs="仿宋_GB2312"/>
          <w:kern w:val="0"/>
          <w:sz w:val="32"/>
          <w:szCs w:val="32"/>
          <w:lang w:val="en-US" w:eastAsia="zh-CN"/>
        </w:rPr>
        <w:t>投诉</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有关部门移送、上级交办的卫生计生违法案件进行查处</w:t>
      </w:r>
      <w:r>
        <w:rPr>
          <w:rFonts w:hint="eastAsia" w:ascii="Times New Roman" w:hAnsi="Times New Roman" w:eastAsia="仿宋_GB2312" w:cs="仿宋_GB2312"/>
          <w:kern w:val="0"/>
          <w:sz w:val="32"/>
          <w:szCs w:val="32"/>
          <w:lang w:val="en-US" w:eastAsia="zh-CN"/>
        </w:rPr>
        <w:t>。</w:t>
      </w:r>
    </w:p>
    <w:p w14:paraId="2423C67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w:t>
      </w:r>
      <w:r>
        <w:rPr>
          <w:rFonts w:hint="default" w:ascii="Times New Roman" w:hAnsi="Times New Roman" w:eastAsia="仿宋_GB2312" w:cs="仿宋_GB2312"/>
          <w:kern w:val="0"/>
          <w:sz w:val="32"/>
          <w:szCs w:val="32"/>
          <w:lang w:val="en-US" w:eastAsia="zh-CN"/>
        </w:rPr>
        <w:t>承担国家和省交办的卫生计生综合监督执法抽检任务</w:t>
      </w:r>
      <w:r>
        <w:rPr>
          <w:rFonts w:hint="eastAsia" w:ascii="Times New Roman" w:hAnsi="Times New Roman" w:eastAsia="仿宋_GB2312" w:cs="仿宋_GB2312"/>
          <w:kern w:val="0"/>
          <w:sz w:val="32"/>
          <w:szCs w:val="32"/>
          <w:lang w:val="en-US" w:eastAsia="zh-CN"/>
        </w:rPr>
        <w:t>，</w:t>
      </w:r>
      <w:r>
        <w:rPr>
          <w:rFonts w:hint="default" w:ascii="Times New Roman" w:hAnsi="Times New Roman" w:eastAsia="仿宋_GB2312" w:cs="仿宋_GB2312"/>
          <w:kern w:val="0"/>
          <w:sz w:val="32"/>
          <w:szCs w:val="32"/>
          <w:lang w:val="en-US" w:eastAsia="zh-CN"/>
        </w:rPr>
        <w:t>组织实施全市卫生计生综合监督执法抽检工作</w:t>
      </w:r>
      <w:r>
        <w:rPr>
          <w:rFonts w:hint="eastAsia" w:ascii="Times New Roman" w:hAnsi="Times New Roman" w:eastAsia="仿宋_GB2312" w:cs="仿宋_GB2312"/>
          <w:kern w:val="0"/>
          <w:sz w:val="32"/>
          <w:szCs w:val="32"/>
          <w:lang w:val="en-US" w:eastAsia="zh-CN"/>
        </w:rPr>
        <w:t>。</w:t>
      </w:r>
    </w:p>
    <w:p w14:paraId="2A5ED02F">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（十一）</w:t>
      </w:r>
      <w:r>
        <w:rPr>
          <w:rFonts w:hint="default" w:ascii="Times New Roman" w:hAnsi="Times New Roman" w:eastAsia="仿宋_GB2312" w:cs="仿宋_GB2312"/>
          <w:kern w:val="0"/>
          <w:sz w:val="32"/>
          <w:szCs w:val="32"/>
          <w:lang w:val="en-US" w:eastAsia="zh-CN"/>
        </w:rPr>
        <w:t>负责市级卫生计生综合监督信息网络平台</w:t>
      </w:r>
      <w:r>
        <w:rPr>
          <w:rFonts w:hint="eastAsia" w:ascii="Times New Roman" w:hAnsi="Times New Roman" w:eastAsia="仿宋_GB2312" w:cs="仿宋_GB2312"/>
          <w:kern w:val="0"/>
          <w:sz w:val="32"/>
          <w:szCs w:val="32"/>
          <w:lang w:val="en-US" w:eastAsia="zh-CN"/>
        </w:rPr>
        <w:t>的建</w:t>
      </w:r>
      <w:r>
        <w:rPr>
          <w:rFonts w:hint="default" w:ascii="Times New Roman" w:hAnsi="Times New Roman" w:eastAsia="仿宋_GB2312" w:cs="仿宋_GB2312"/>
          <w:kern w:val="0"/>
          <w:sz w:val="32"/>
          <w:szCs w:val="32"/>
          <w:lang w:val="en-US" w:eastAsia="zh-CN"/>
        </w:rPr>
        <w:t>设、运行与管理，组织实施本行政区域内卫生计生综合监督执法信息的汇总、核实、分析、报告</w:t>
      </w:r>
      <w:r>
        <w:rPr>
          <w:rFonts w:hint="eastAsia" w:ascii="Times New Roman" w:hAnsi="Times New Roman" w:eastAsia="仿宋_GB2312" w:cs="仿宋_GB2312"/>
          <w:kern w:val="0"/>
          <w:sz w:val="32"/>
          <w:szCs w:val="32"/>
          <w:lang w:val="en-US" w:eastAsia="zh-CN"/>
        </w:rPr>
        <w:t>。</w:t>
      </w:r>
    </w:p>
    <w:p w14:paraId="29D9F4B9">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（十二）</w:t>
      </w:r>
      <w:r>
        <w:rPr>
          <w:rFonts w:hint="default" w:ascii="Times New Roman" w:hAnsi="Times New Roman" w:eastAsia="仿宋_GB2312" w:cs="仿宋_GB2312"/>
          <w:kern w:val="0"/>
          <w:sz w:val="32"/>
          <w:szCs w:val="32"/>
          <w:lang w:val="en-US" w:eastAsia="zh-CN"/>
        </w:rPr>
        <w:t>参与市级重大活动的卫生保障工作</w:t>
      </w:r>
      <w:r>
        <w:rPr>
          <w:rFonts w:hint="eastAsia" w:ascii="Times New Roman" w:hAnsi="Times New Roman" w:eastAsia="仿宋_GB2312" w:cs="仿宋_GB2312"/>
          <w:kern w:val="0"/>
          <w:sz w:val="32"/>
          <w:szCs w:val="32"/>
          <w:lang w:val="en-US" w:eastAsia="zh-CN"/>
        </w:rPr>
        <w:t>。</w:t>
      </w:r>
    </w:p>
    <w:p w14:paraId="71438116">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kern w:val="0"/>
          <w:sz w:val="32"/>
          <w:szCs w:val="32"/>
          <w:lang w:val="en-US" w:eastAsia="zh-CN"/>
        </w:rPr>
      </w:pPr>
      <w:r>
        <w:rPr>
          <w:rFonts w:hint="eastAsia" w:ascii="Times New Roman" w:hAnsi="Times New Roman" w:eastAsia="仿宋_GB2312" w:cs="仿宋_GB2312"/>
          <w:kern w:val="0"/>
          <w:sz w:val="32"/>
          <w:szCs w:val="32"/>
          <w:lang w:val="en-US" w:eastAsia="zh-CN"/>
        </w:rPr>
        <w:t>（十三）组织实施全市卫生计生综合监督执法人员的培训。</w:t>
      </w:r>
    </w:p>
    <w:p w14:paraId="009B9905">
      <w:pPr>
        <w:keepNext w:val="0"/>
        <w:keepLines w:val="0"/>
        <w:pageBreakBefore w:val="0"/>
        <w:widowControl/>
        <w:kinsoku/>
        <w:wordWrap/>
        <w:overflowPunct/>
        <w:topLinePunct w:val="0"/>
        <w:autoSpaceDE/>
        <w:autoSpaceDN/>
        <w:bidi w:val="0"/>
        <w:adjustRightInd/>
        <w:snapToGrid/>
        <w:spacing w:line="580" w:lineRule="exact"/>
        <w:ind w:firstLine="640" w:firstLineChars="200"/>
        <w:jc w:val="both"/>
        <w:textAlignment w:val="auto"/>
        <w:rPr>
          <w:rFonts w:hint="eastAsia" w:ascii="Times New Roman" w:hAnsi="Times New Roman" w:eastAsia="仿宋_GB2312" w:cs="仿宋_GB2312"/>
          <w:sz w:val="32"/>
          <w:szCs w:val="32"/>
        </w:rPr>
      </w:pPr>
      <w:r>
        <w:rPr>
          <w:rFonts w:hint="eastAsia" w:ascii="Times New Roman" w:hAnsi="Times New Roman" w:eastAsia="仿宋_GB2312" w:cs="仿宋_GB2312"/>
          <w:kern w:val="0"/>
          <w:sz w:val="32"/>
          <w:szCs w:val="32"/>
          <w:lang w:val="en-US" w:eastAsia="zh-CN"/>
        </w:rPr>
        <w:t>（十四）</w:t>
      </w:r>
      <w:r>
        <w:rPr>
          <w:rFonts w:hint="default" w:ascii="Times New Roman" w:hAnsi="Times New Roman" w:eastAsia="仿宋_GB2312" w:cs="仿宋_GB2312"/>
          <w:kern w:val="0"/>
          <w:sz w:val="32"/>
          <w:szCs w:val="32"/>
          <w:lang w:val="en-US" w:eastAsia="zh-CN"/>
        </w:rPr>
        <w:t>承办市卫</w:t>
      </w:r>
      <w:r>
        <w:rPr>
          <w:rFonts w:hint="eastAsia" w:ascii="Times New Roman" w:hAnsi="Times New Roman" w:eastAsia="仿宋_GB2312" w:cs="仿宋_GB2312"/>
          <w:kern w:val="0"/>
          <w:sz w:val="32"/>
          <w:szCs w:val="32"/>
          <w:lang w:val="en-US" w:eastAsia="zh-CN"/>
        </w:rPr>
        <w:t>健</w:t>
      </w:r>
      <w:r>
        <w:rPr>
          <w:rFonts w:hint="default" w:ascii="Times New Roman" w:hAnsi="Times New Roman" w:eastAsia="仿宋_GB2312" w:cs="仿宋_GB2312"/>
          <w:kern w:val="0"/>
          <w:sz w:val="32"/>
          <w:szCs w:val="32"/>
          <w:lang w:val="en-US" w:eastAsia="zh-CN"/>
        </w:rPr>
        <w:t>委交办的其他事项。</w:t>
      </w:r>
    </w:p>
    <w:p w14:paraId="2DC82B10">
      <w:pPr>
        <w:widowControl/>
        <w:spacing w:line="600" w:lineRule="exact"/>
        <w:rPr>
          <w:rFonts w:hint="eastAsia" w:ascii="黑体" w:hAnsi="黑体" w:eastAsia="黑体" w:cs="黑体"/>
          <w:b w:val="0"/>
          <w:bCs/>
          <w:kern w:val="0"/>
          <w:sz w:val="32"/>
          <w:szCs w:val="32"/>
        </w:rPr>
      </w:pPr>
      <w:r>
        <w:rPr>
          <w:rFonts w:hint="eastAsia" w:ascii="黑体" w:hAnsi="黑体" w:eastAsia="黑体" w:cs="黑体"/>
          <w:b w:val="0"/>
          <w:bCs/>
          <w:kern w:val="0"/>
          <w:sz w:val="32"/>
          <w:szCs w:val="32"/>
        </w:rPr>
        <w:t>二、机构设置及决算单位构成</w:t>
      </w:r>
    </w:p>
    <w:p w14:paraId="5B2EEC5A">
      <w:pPr>
        <w:widowControl/>
        <w:spacing w:line="600" w:lineRule="exact"/>
        <w:rPr>
          <w:rFonts w:hint="eastAsia" w:ascii="Times New Roman" w:hAnsi="Times New Roman" w:eastAsia="仿宋_GB2312" w:cs="仿宋_GB2312"/>
          <w:bCs/>
          <w:kern w:val="0"/>
          <w:sz w:val="32"/>
          <w:szCs w:val="32"/>
        </w:rPr>
      </w:pPr>
      <w:r>
        <w:rPr>
          <w:rFonts w:hint="eastAsia" w:ascii="Times New Roman" w:hAnsi="Times New Roman" w:eastAsia="仿宋_GB2312" w:cs="仿宋_GB2312"/>
          <w:bCs/>
          <w:kern w:val="0"/>
          <w:sz w:val="32"/>
          <w:szCs w:val="32"/>
        </w:rPr>
        <w:t>（一）内设机构设置。</w:t>
      </w:r>
      <w:r>
        <w:rPr>
          <w:rFonts w:hint="eastAsia" w:ascii="Times New Roman" w:hAnsi="Times New Roman" w:eastAsia="仿宋_GB2312" w:cs="仿宋_GB2312"/>
          <w:bCs/>
          <w:kern w:val="0"/>
          <w:sz w:val="32"/>
          <w:szCs w:val="32"/>
          <w:lang w:eastAsia="zh-CN"/>
        </w:rPr>
        <w:t>岳阳市卫生计生综合监督执法局</w:t>
      </w:r>
      <w:r>
        <w:rPr>
          <w:rFonts w:hint="eastAsia" w:ascii="Times New Roman" w:hAnsi="Times New Roman" w:eastAsia="仿宋_GB2312" w:cs="仿宋_GB2312"/>
          <w:bCs/>
          <w:kern w:val="0"/>
          <w:sz w:val="32"/>
          <w:szCs w:val="32"/>
        </w:rPr>
        <w:t>单位内设机构</w:t>
      </w:r>
      <w:r>
        <w:rPr>
          <w:rFonts w:hint="eastAsia" w:ascii="Times New Roman" w:hAnsi="Times New Roman" w:eastAsia="仿宋_GB2312" w:cs="仿宋_GB2312"/>
          <w:bCs/>
          <w:kern w:val="0"/>
          <w:sz w:val="32"/>
          <w:szCs w:val="32"/>
          <w:lang w:val="en-US" w:eastAsia="zh-CN"/>
        </w:rPr>
        <w:t>10个（副处级）</w:t>
      </w:r>
      <w:r>
        <w:rPr>
          <w:rFonts w:hint="eastAsia" w:ascii="Times New Roman" w:hAnsi="Times New Roman" w:eastAsia="仿宋_GB2312" w:cs="仿宋_GB2312"/>
          <w:bCs/>
          <w:kern w:val="0"/>
          <w:sz w:val="32"/>
          <w:szCs w:val="32"/>
        </w:rPr>
        <w:t>包括：</w:t>
      </w:r>
      <w:r>
        <w:rPr>
          <w:rFonts w:hint="eastAsia" w:ascii="仿宋_GB2312" w:hAnsi="仿宋_GB2312" w:eastAsia="仿宋_GB2312" w:cs="仿宋_GB2312"/>
          <w:color w:val="000000"/>
          <w:sz w:val="32"/>
          <w:szCs w:val="32"/>
          <w:lang w:eastAsia="zh-CN"/>
        </w:rPr>
        <w:t>医疗卫生监督一科、医疗卫生监督二科、公共场所卫生监督科、学校卫生监督科、传染病防治与饮用水卫生监督科、稽查与信息科、放射与职业卫生监督科、办公室、财务室、人事科。</w:t>
      </w:r>
    </w:p>
    <w:p w14:paraId="7994DC26">
      <w:pPr>
        <w:keepNext w:val="0"/>
        <w:keepLines w:val="0"/>
        <w:pageBreakBefore w:val="0"/>
        <w:widowControl/>
        <w:kinsoku/>
        <w:wordWrap/>
        <w:overflowPunct/>
        <w:topLinePunct w:val="0"/>
        <w:autoSpaceDE/>
        <w:autoSpaceDN/>
        <w:bidi w:val="0"/>
        <w:adjustRightInd/>
        <w:snapToGrid/>
        <w:spacing w:line="580" w:lineRule="exact"/>
        <w:textAlignment w:val="auto"/>
        <w:rPr>
          <w:rFonts w:ascii="仿宋_GB2312" w:eastAsia="仿宋_GB2312" w:hAnsiTheme="minorEastAsia"/>
          <w:sz w:val="28"/>
          <w:szCs w:val="32"/>
        </w:rPr>
      </w:pPr>
      <w:r>
        <w:rPr>
          <w:rFonts w:hint="eastAsia" w:ascii="Times New Roman" w:hAnsi="Times New Roman" w:eastAsia="仿宋_GB2312" w:cs="仿宋_GB2312"/>
          <w:bCs/>
          <w:kern w:val="0"/>
          <w:sz w:val="32"/>
          <w:szCs w:val="32"/>
        </w:rPr>
        <w:t>（二）决算单位构成。</w:t>
      </w:r>
      <w:r>
        <w:rPr>
          <w:rFonts w:hint="eastAsia" w:ascii="Times New Roman" w:hAnsi="Times New Roman" w:eastAsia="仿宋_GB2312" w:cs="仿宋_GB2312"/>
          <w:bCs/>
          <w:kern w:val="0"/>
          <w:sz w:val="32"/>
          <w:szCs w:val="32"/>
          <w:lang w:eastAsia="zh-CN"/>
        </w:rPr>
        <w:t>岳阳市卫生计生综合监督执法局</w:t>
      </w:r>
      <w:r>
        <w:rPr>
          <w:rFonts w:hint="eastAsia" w:ascii="仿宋_GB2312" w:hAnsi="仿宋_GB2312" w:eastAsia="仿宋_GB2312" w:cs="仿宋_GB2312"/>
          <w:bCs/>
          <w:kern w:val="0"/>
          <w:sz w:val="32"/>
          <w:szCs w:val="32"/>
          <w:lang w:eastAsia="zh-CN"/>
        </w:rPr>
        <w:t>是隶属于市卫健委的二级机构，</w:t>
      </w:r>
      <w:r>
        <w:rPr>
          <w:rFonts w:hint="eastAsia" w:ascii="Times New Roman" w:hAnsi="Times New Roman" w:eastAsia="仿宋_GB2312" w:cs="仿宋_GB2312"/>
          <w:bCs/>
          <w:kern w:val="0"/>
          <w:sz w:val="32"/>
          <w:szCs w:val="32"/>
        </w:rPr>
        <w:t>单位202</w:t>
      </w:r>
      <w:r>
        <w:rPr>
          <w:rFonts w:hint="eastAsia" w:ascii="Times New Roman" w:hAnsi="Times New Roman" w:eastAsia="仿宋_GB2312" w:cs="仿宋_GB2312"/>
          <w:bCs/>
          <w:kern w:val="0"/>
          <w:sz w:val="32"/>
          <w:szCs w:val="32"/>
          <w:lang w:val="en-US" w:eastAsia="zh-CN"/>
        </w:rPr>
        <w:t>4</w:t>
      </w:r>
      <w:r>
        <w:rPr>
          <w:rFonts w:hint="eastAsia" w:ascii="Times New Roman" w:hAnsi="Times New Roman" w:eastAsia="仿宋_GB2312" w:cs="仿宋_GB2312"/>
          <w:bCs/>
          <w:kern w:val="0"/>
          <w:sz w:val="32"/>
          <w:szCs w:val="32"/>
        </w:rPr>
        <w:t>年部门决算汇总公开单位构成包括：</w:t>
      </w:r>
      <w:r>
        <w:rPr>
          <w:rFonts w:hint="eastAsia" w:ascii="仿宋_GB2312" w:hAnsi="仿宋_GB2312" w:eastAsia="仿宋_GB2312" w:cs="仿宋_GB2312"/>
          <w:bCs/>
          <w:kern w:val="0"/>
          <w:sz w:val="32"/>
          <w:szCs w:val="32"/>
        </w:rPr>
        <w:t>岳阳市卫生</w:t>
      </w:r>
      <w:r>
        <w:rPr>
          <w:rFonts w:hint="eastAsia" w:ascii="仿宋_GB2312" w:hAnsi="仿宋_GB2312" w:eastAsia="仿宋_GB2312" w:cs="仿宋_GB2312"/>
          <w:bCs/>
          <w:kern w:val="0"/>
          <w:sz w:val="32"/>
          <w:szCs w:val="32"/>
          <w:lang w:eastAsia="zh-CN"/>
        </w:rPr>
        <w:t>计生综合监督执法局本级一家，本单位无独立核算的下属单位，</w:t>
      </w:r>
      <w:r>
        <w:rPr>
          <w:rFonts w:hint="eastAsia" w:ascii="仿宋_GB2312" w:hAnsi="仿宋_GB2312" w:eastAsia="仿宋_GB2312" w:cs="仿宋_GB2312"/>
          <w:bCs/>
          <w:kern w:val="0"/>
          <w:sz w:val="32"/>
          <w:szCs w:val="32"/>
          <w:lang w:val="en-US" w:eastAsia="zh-CN"/>
        </w:rPr>
        <w:t>2024年度部门决算汇总公开单位仅包括岳阳市卫生计生综合监督执法局单位本级。</w:t>
      </w:r>
    </w:p>
    <w:p w14:paraId="104B1854">
      <w:pPr>
        <w:widowControl/>
        <w:spacing w:line="600" w:lineRule="exact"/>
        <w:rPr>
          <w:rFonts w:hint="eastAsia" w:ascii="Times New Roman" w:hAnsi="Times New Roman" w:eastAsia="仿宋_GB2312" w:cs="仿宋_GB2312"/>
          <w:bCs/>
          <w:kern w:val="0"/>
          <w:sz w:val="32"/>
          <w:szCs w:val="32"/>
        </w:rPr>
      </w:pPr>
    </w:p>
    <w:p w14:paraId="38152785"/>
    <w:p w14:paraId="3CE56614">
      <w:pPr>
        <w:pStyle w:val="2"/>
      </w:pPr>
    </w:p>
    <w:p w14:paraId="70B4D569">
      <w:pPr>
        <w:pStyle w:val="3"/>
      </w:pPr>
    </w:p>
    <w:p w14:paraId="5B1D6CBC"/>
    <w:p w14:paraId="7D6C31E4">
      <w:pPr>
        <w:pStyle w:val="2"/>
      </w:pPr>
    </w:p>
    <w:p w14:paraId="056E4ECA">
      <w:pPr>
        <w:pStyle w:val="3"/>
      </w:pPr>
    </w:p>
    <w:p w14:paraId="3288C9C5"/>
    <w:p w14:paraId="14507043">
      <w:pPr>
        <w:pStyle w:val="2"/>
      </w:pPr>
    </w:p>
    <w:p w14:paraId="465EA8BD">
      <w:pPr>
        <w:pStyle w:val="3"/>
      </w:pPr>
    </w:p>
    <w:p w14:paraId="49E51758"/>
    <w:p w14:paraId="3DC8C6CD">
      <w:pPr>
        <w:pStyle w:val="2"/>
      </w:pPr>
    </w:p>
    <w:p w14:paraId="36E702E5">
      <w:pPr>
        <w:pStyle w:val="3"/>
      </w:pPr>
    </w:p>
    <w:p w14:paraId="0416550A"/>
    <w:p w14:paraId="28B49BCE">
      <w:pPr>
        <w:pStyle w:val="2"/>
      </w:pPr>
    </w:p>
    <w:p w14:paraId="43291855">
      <w:pPr>
        <w:pStyle w:val="3"/>
      </w:pPr>
    </w:p>
    <w:p w14:paraId="7CD92489"/>
    <w:p w14:paraId="5267F12B">
      <w:pPr>
        <w:pStyle w:val="2"/>
      </w:pPr>
    </w:p>
    <w:p w14:paraId="28828498">
      <w:pPr>
        <w:pStyle w:val="3"/>
      </w:pPr>
    </w:p>
    <w:p w14:paraId="7CCBF86D">
      <w:pPr>
        <w:pStyle w:val="2"/>
      </w:pPr>
    </w:p>
    <w:p w14:paraId="76181D4E"/>
    <w:p w14:paraId="2B49F2B7">
      <w:pPr>
        <w:pStyle w:val="12"/>
        <w:jc w:val="center"/>
        <w:rPr>
          <w:rFonts w:hint="eastAsia" w:ascii="方正小标宋_GBK" w:hAnsi="方正小标宋_GBK" w:eastAsia="方正小标宋_GBK" w:cs="方正小标宋_GBK"/>
          <w:sz w:val="84"/>
          <w:szCs w:val="84"/>
        </w:rPr>
      </w:pPr>
    </w:p>
    <w:p w14:paraId="661BBFC8">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第二部分</w:t>
      </w:r>
    </w:p>
    <w:p w14:paraId="5FB02ED5">
      <w:pPr>
        <w:pStyle w:val="12"/>
        <w:jc w:val="center"/>
        <w:rPr>
          <w:rFonts w:hint="eastAsia" w:ascii="方正小标宋_GBK" w:hAnsi="方正小标宋_GBK" w:eastAsia="方正小标宋_GBK" w:cs="方正小标宋_GBK"/>
          <w:sz w:val="84"/>
          <w:szCs w:val="84"/>
        </w:rPr>
      </w:pPr>
    </w:p>
    <w:p w14:paraId="3860F185">
      <w:pPr>
        <w:pStyle w:val="12"/>
        <w:jc w:val="center"/>
        <w:rPr>
          <w:rFonts w:hint="eastAsia" w:ascii="方正小标宋_GBK" w:hAnsi="方正小标宋_GBK" w:eastAsia="方正小标宋_GBK" w:cs="方正小标宋_GBK"/>
          <w:sz w:val="84"/>
          <w:szCs w:val="84"/>
        </w:rPr>
      </w:pPr>
      <w:r>
        <w:rPr>
          <w:rFonts w:hint="eastAsia" w:ascii="方正小标宋_GBK" w:hAnsi="方正小标宋_GBK" w:eastAsia="方正小标宋_GBK" w:cs="方正小标宋_GBK"/>
          <w:sz w:val="84"/>
          <w:szCs w:val="84"/>
        </w:rPr>
        <w:t>部门决算表</w:t>
      </w:r>
    </w:p>
    <w:p w14:paraId="50A5962C">
      <w:pPr>
        <w:pStyle w:val="12"/>
        <w:jc w:val="center"/>
        <w:rPr>
          <w:rFonts w:hint="eastAsia" w:ascii="仿宋_GB2312" w:hAnsi="仿宋_GB2312" w:eastAsia="仿宋_GB2312" w:cs="仿宋_GB2312"/>
          <w:b w:val="0"/>
          <w:bCs w:val="0"/>
          <w:sz w:val="72"/>
          <w:szCs w:val="72"/>
          <w:lang w:eastAsia="zh-CN"/>
        </w:rPr>
      </w:pPr>
      <w:r>
        <w:rPr>
          <w:rFonts w:hint="eastAsia" w:ascii="仿宋_GB2312" w:hAnsi="仿宋_GB2312" w:eastAsia="仿宋_GB2312" w:cs="仿宋_GB2312"/>
          <w:b w:val="0"/>
          <w:bCs w:val="0"/>
          <w:sz w:val="72"/>
          <w:szCs w:val="72"/>
          <w:lang w:eastAsia="zh-CN"/>
        </w:rPr>
        <w:t>（见附件）</w:t>
      </w:r>
    </w:p>
    <w:p w14:paraId="325AF5B5">
      <w:pPr>
        <w:pStyle w:val="12"/>
        <w:jc w:val="center"/>
        <w:rPr>
          <w:rFonts w:hint="eastAsia" w:ascii="仿宋_GB2312" w:hAnsi="仿宋_GB2312" w:eastAsia="仿宋_GB2312" w:cs="仿宋_GB2312"/>
          <w:b w:val="0"/>
          <w:bCs w:val="0"/>
          <w:sz w:val="72"/>
          <w:szCs w:val="72"/>
          <w:lang w:eastAsia="zh-CN"/>
        </w:rPr>
      </w:pPr>
    </w:p>
    <w:p w14:paraId="0568D1B8">
      <w:pPr>
        <w:pStyle w:val="12"/>
        <w:jc w:val="center"/>
        <w:rPr>
          <w:rFonts w:hint="eastAsia" w:ascii="仿宋_GB2312" w:hAnsi="仿宋_GB2312" w:eastAsia="仿宋_GB2312" w:cs="仿宋_GB2312"/>
          <w:b w:val="0"/>
          <w:bCs w:val="0"/>
          <w:sz w:val="72"/>
          <w:szCs w:val="72"/>
          <w:lang w:eastAsia="zh-CN"/>
        </w:rPr>
      </w:pPr>
    </w:p>
    <w:p w14:paraId="5C65B646">
      <w:pPr>
        <w:pStyle w:val="12"/>
        <w:jc w:val="center"/>
        <w:rPr>
          <w:rFonts w:hint="eastAsia" w:ascii="仿宋_GB2312" w:hAnsi="仿宋_GB2312" w:eastAsia="仿宋_GB2312" w:cs="仿宋_GB2312"/>
          <w:b w:val="0"/>
          <w:bCs w:val="0"/>
          <w:sz w:val="72"/>
          <w:szCs w:val="72"/>
          <w:lang w:eastAsia="zh-CN"/>
        </w:rPr>
      </w:pPr>
    </w:p>
    <w:p w14:paraId="62EA5E89">
      <w:pPr>
        <w:pStyle w:val="12"/>
        <w:jc w:val="center"/>
        <w:rPr>
          <w:rFonts w:hint="eastAsia" w:ascii="仿宋_GB2312" w:hAnsi="仿宋_GB2312" w:eastAsia="仿宋_GB2312" w:cs="仿宋_GB2312"/>
          <w:b w:val="0"/>
          <w:bCs w:val="0"/>
          <w:sz w:val="72"/>
          <w:szCs w:val="72"/>
          <w:lang w:eastAsia="zh-CN"/>
        </w:rPr>
      </w:pPr>
    </w:p>
    <w:p w14:paraId="63BFFD84">
      <w:pPr>
        <w:pStyle w:val="12"/>
        <w:jc w:val="center"/>
        <w:rPr>
          <w:rFonts w:hint="eastAsia" w:ascii="仿宋_GB2312" w:hAnsi="仿宋_GB2312" w:eastAsia="仿宋_GB2312" w:cs="仿宋_GB2312"/>
          <w:b w:val="0"/>
          <w:bCs w:val="0"/>
          <w:sz w:val="72"/>
          <w:szCs w:val="72"/>
          <w:lang w:eastAsia="zh-CN"/>
        </w:rPr>
      </w:pPr>
    </w:p>
    <w:p w14:paraId="4565BABE">
      <w:pPr>
        <w:pStyle w:val="12"/>
        <w:jc w:val="center"/>
        <w:rPr>
          <w:rFonts w:hint="eastAsia" w:ascii="仿宋_GB2312" w:hAnsi="仿宋_GB2312" w:eastAsia="仿宋_GB2312" w:cs="仿宋_GB2312"/>
          <w:b w:val="0"/>
          <w:bCs w:val="0"/>
          <w:sz w:val="72"/>
          <w:szCs w:val="72"/>
          <w:lang w:eastAsia="zh-CN"/>
        </w:rPr>
      </w:pPr>
    </w:p>
    <w:p w14:paraId="6EEAB3EF">
      <w:pPr>
        <w:pStyle w:val="12"/>
        <w:jc w:val="center"/>
        <w:rPr>
          <w:rFonts w:hint="eastAsia" w:ascii="仿宋_GB2312" w:hAnsi="仿宋_GB2312" w:eastAsia="仿宋_GB2312" w:cs="仿宋_GB2312"/>
          <w:b w:val="0"/>
          <w:bCs w:val="0"/>
          <w:sz w:val="72"/>
          <w:szCs w:val="72"/>
          <w:lang w:eastAsia="zh-CN"/>
        </w:rPr>
      </w:pPr>
    </w:p>
    <w:p w14:paraId="34480C19">
      <w:pPr>
        <w:pStyle w:val="12"/>
        <w:jc w:val="center"/>
        <w:rPr>
          <w:rFonts w:hint="eastAsia" w:ascii="方正小标宋_GBK" w:hAnsi="方正小标宋_GBK" w:eastAsia="方正小标宋_GBK" w:cs="方正小标宋_GBK"/>
          <w:sz w:val="72"/>
          <w:szCs w:val="72"/>
        </w:rPr>
      </w:pPr>
    </w:p>
    <w:p w14:paraId="47F2BEAD">
      <w:pPr>
        <w:pStyle w:val="12"/>
        <w:jc w:val="center"/>
        <w:rPr>
          <w:rFonts w:hint="eastAsia" w:ascii="方正小标宋_GBK" w:hAnsi="方正小标宋_GBK" w:eastAsia="方正小标宋_GBK" w:cs="方正小标宋_GBK"/>
          <w:sz w:val="72"/>
          <w:szCs w:val="72"/>
        </w:rPr>
      </w:pPr>
    </w:p>
    <w:p w14:paraId="0F9DCCCB">
      <w:pPr>
        <w:pStyle w:val="12"/>
        <w:jc w:val="center"/>
        <w:rPr>
          <w:rFonts w:hint="eastAsia" w:ascii="方正小标宋_GBK" w:hAnsi="方正小标宋_GBK" w:eastAsia="方正小标宋_GBK" w:cs="方正小标宋_GBK"/>
          <w:sz w:val="72"/>
          <w:szCs w:val="72"/>
        </w:rPr>
      </w:pPr>
    </w:p>
    <w:p w14:paraId="6471B98C">
      <w:pPr>
        <w:pStyle w:val="12"/>
        <w:jc w:val="center"/>
        <w:rPr>
          <w:rFonts w:hint="eastAsia" w:ascii="方正小标宋_GBK" w:hAnsi="方正小标宋_GBK" w:eastAsia="方正小标宋_GBK" w:cs="方正小标宋_GBK"/>
          <w:sz w:val="72"/>
          <w:szCs w:val="72"/>
        </w:rPr>
      </w:pPr>
    </w:p>
    <w:p w14:paraId="7804FBAA">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第三部分</w:t>
      </w:r>
    </w:p>
    <w:p w14:paraId="7D53C949">
      <w:pPr>
        <w:pStyle w:val="12"/>
        <w:jc w:val="center"/>
        <w:rPr>
          <w:rFonts w:hint="eastAsia" w:ascii="方正小标宋_GBK" w:hAnsi="方正小标宋_GBK" w:eastAsia="方正小标宋_GBK" w:cs="方正小标宋_GBK"/>
          <w:sz w:val="70"/>
          <w:szCs w:val="70"/>
        </w:rPr>
      </w:pPr>
    </w:p>
    <w:p w14:paraId="4F77A5A6">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0"/>
          <w:szCs w:val="70"/>
        </w:rPr>
        <w:t>202</w:t>
      </w:r>
      <w:r>
        <w:rPr>
          <w:rFonts w:hint="eastAsia" w:ascii="方正小标宋_GBK" w:hAnsi="方正小标宋_GBK" w:eastAsia="方正小标宋_GBK" w:cs="方正小标宋_GBK"/>
          <w:sz w:val="70"/>
          <w:szCs w:val="70"/>
          <w:lang w:val="en-US" w:eastAsia="zh-CN"/>
        </w:rPr>
        <w:t>4</w:t>
      </w:r>
      <w:r>
        <w:rPr>
          <w:rFonts w:hint="eastAsia" w:ascii="方正小标宋_GBK" w:hAnsi="方正小标宋_GBK" w:eastAsia="方正小标宋_GBK" w:cs="方正小标宋_GBK"/>
          <w:sz w:val="70"/>
          <w:szCs w:val="70"/>
        </w:rPr>
        <w:t>年度部门决算情况说明</w:t>
      </w:r>
    </w:p>
    <w:p w14:paraId="17862F93">
      <w:pPr>
        <w:pStyle w:val="12"/>
        <w:jc w:val="center"/>
        <w:rPr>
          <w:rFonts w:hint="eastAsia" w:ascii="方正小标宋_GBK" w:hAnsi="方正小标宋_GBK" w:eastAsia="方正小标宋_GBK" w:cs="方正小标宋_GBK"/>
          <w:sz w:val="70"/>
          <w:szCs w:val="70"/>
        </w:rPr>
      </w:pPr>
    </w:p>
    <w:p w14:paraId="6EEC30AB">
      <w:pPr>
        <w:pStyle w:val="12"/>
        <w:jc w:val="center"/>
        <w:rPr>
          <w:rFonts w:hint="eastAsia" w:ascii="方正小标宋_GBK" w:hAnsi="方正小标宋_GBK" w:eastAsia="方正小标宋_GBK" w:cs="方正小标宋_GBK"/>
          <w:sz w:val="70"/>
          <w:szCs w:val="70"/>
        </w:rPr>
      </w:pPr>
    </w:p>
    <w:p w14:paraId="417367C1">
      <w:pPr>
        <w:pStyle w:val="12"/>
        <w:jc w:val="center"/>
        <w:rPr>
          <w:rFonts w:hint="eastAsia" w:ascii="方正小标宋_GBK" w:hAnsi="方正小标宋_GBK" w:eastAsia="方正小标宋_GBK" w:cs="方正小标宋_GBK"/>
          <w:sz w:val="70"/>
          <w:szCs w:val="70"/>
        </w:rPr>
      </w:pPr>
    </w:p>
    <w:p w14:paraId="5EF1049C">
      <w:pPr>
        <w:pStyle w:val="12"/>
        <w:jc w:val="center"/>
        <w:rPr>
          <w:rFonts w:hint="eastAsia" w:ascii="方正小标宋_GBK" w:hAnsi="方正小标宋_GBK" w:eastAsia="方正小标宋_GBK" w:cs="方正小标宋_GBK"/>
          <w:sz w:val="70"/>
          <w:szCs w:val="70"/>
        </w:rPr>
      </w:pPr>
    </w:p>
    <w:p w14:paraId="7E4B3CF9">
      <w:pPr>
        <w:pStyle w:val="12"/>
        <w:jc w:val="center"/>
        <w:rPr>
          <w:rFonts w:hint="eastAsia" w:ascii="方正小标宋_GBK" w:hAnsi="方正小标宋_GBK" w:eastAsia="方正小标宋_GBK" w:cs="方正小标宋_GBK"/>
          <w:sz w:val="70"/>
          <w:szCs w:val="70"/>
        </w:rPr>
      </w:pPr>
    </w:p>
    <w:p w14:paraId="111D7AB8">
      <w:pPr>
        <w:widowControl/>
        <w:ind w:firstLine="640" w:firstLineChars="200"/>
        <w:jc w:val="lef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说明：</w:t>
      </w: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rPr>
        <w:t>由于</w:t>
      </w:r>
      <w:r>
        <w:rPr>
          <w:rFonts w:hint="eastAsia" w:ascii="仿宋_GB2312" w:hAnsi="仿宋_GB2312" w:eastAsia="仿宋_GB2312" w:cs="仿宋_GB2312"/>
          <w:sz w:val="32"/>
          <w:szCs w:val="32"/>
          <w:lang w:eastAsia="zh-CN"/>
        </w:rPr>
        <w:t>部门</w:t>
      </w:r>
      <w:r>
        <w:rPr>
          <w:rFonts w:hint="eastAsia" w:ascii="仿宋_GB2312" w:hAnsi="仿宋_GB2312" w:eastAsia="仿宋_GB2312" w:cs="仿宋_GB2312"/>
          <w:sz w:val="32"/>
          <w:szCs w:val="32"/>
        </w:rPr>
        <w:t>决算编制时</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明细</w:t>
      </w:r>
      <w:r>
        <w:rPr>
          <w:rFonts w:hint="eastAsia" w:ascii="仿宋_GB2312" w:hAnsi="仿宋_GB2312" w:eastAsia="仿宋_GB2312" w:cs="仿宋_GB2312"/>
          <w:sz w:val="32"/>
          <w:szCs w:val="32"/>
          <w:lang w:eastAsia="zh-CN"/>
        </w:rPr>
        <w:t>至“金额单位：元</w:t>
      </w:r>
      <w:r>
        <w:rPr>
          <w:rFonts w:hint="eastAsia" w:ascii="仿宋_GB2312" w:hAnsi="仿宋_GB2312" w:eastAsia="仿宋_GB2312" w:cs="仿宋_GB2312"/>
          <w:sz w:val="32"/>
          <w:szCs w:val="32"/>
        </w:rPr>
        <w:t>”，而</w:t>
      </w:r>
      <w:r>
        <w:rPr>
          <w:rFonts w:hint="eastAsia" w:ascii="仿宋_GB2312" w:hAnsi="仿宋_GB2312" w:eastAsia="仿宋_GB2312" w:cs="仿宋_GB2312"/>
          <w:sz w:val="32"/>
          <w:szCs w:val="32"/>
          <w:lang w:eastAsia="zh-CN"/>
        </w:rPr>
        <w:t>本套部门决算文字说明</w:t>
      </w:r>
      <w:r>
        <w:rPr>
          <w:rFonts w:hint="eastAsia" w:ascii="仿宋_GB2312" w:hAnsi="仿宋_GB2312" w:eastAsia="仿宋_GB2312" w:cs="仿宋_GB2312"/>
          <w:sz w:val="32"/>
          <w:szCs w:val="32"/>
        </w:rPr>
        <w:t>和公开表格</w:t>
      </w:r>
      <w:r>
        <w:rPr>
          <w:rFonts w:hint="eastAsia" w:ascii="仿宋_GB2312" w:hAnsi="仿宋_GB2312" w:eastAsia="仿宋_GB2312" w:cs="仿宋_GB2312"/>
          <w:sz w:val="32"/>
          <w:szCs w:val="32"/>
          <w:lang w:eastAsia="zh-CN"/>
        </w:rPr>
        <w:t>数据</w:t>
      </w:r>
      <w:r>
        <w:rPr>
          <w:rFonts w:hint="eastAsia" w:ascii="仿宋_GB2312" w:hAnsi="仿宋_GB2312" w:eastAsia="仿宋_GB2312" w:cs="仿宋_GB2312"/>
          <w:sz w:val="32"/>
          <w:szCs w:val="32"/>
        </w:rPr>
        <w:t>取数</w:t>
      </w:r>
      <w:r>
        <w:rPr>
          <w:rFonts w:hint="eastAsia" w:ascii="仿宋_GB2312" w:hAnsi="仿宋_GB2312" w:eastAsia="仿宋_GB2312" w:cs="仿宋_GB2312"/>
          <w:sz w:val="32"/>
          <w:szCs w:val="32"/>
          <w:lang w:eastAsia="zh-CN"/>
        </w:rPr>
        <w:t>转换为</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金额单位：</w:t>
      </w:r>
      <w:r>
        <w:rPr>
          <w:rFonts w:hint="eastAsia" w:ascii="仿宋_GB2312" w:hAnsi="仿宋_GB2312" w:eastAsia="仿宋_GB2312" w:cs="仿宋_GB2312"/>
          <w:sz w:val="32"/>
          <w:szCs w:val="32"/>
        </w:rPr>
        <w:t>万元”，可能导致</w:t>
      </w:r>
      <w:r>
        <w:rPr>
          <w:rFonts w:hint="eastAsia" w:ascii="仿宋_GB2312" w:hAnsi="仿宋_GB2312" w:eastAsia="仿宋_GB2312" w:cs="仿宋_GB2312"/>
          <w:sz w:val="32"/>
          <w:szCs w:val="32"/>
          <w:lang w:eastAsia="zh-CN"/>
        </w:rPr>
        <w:t>以下文字说明中的各项数据取数以及公开</w:t>
      </w:r>
      <w:r>
        <w:rPr>
          <w:rFonts w:hint="eastAsia" w:ascii="仿宋_GB2312" w:hAnsi="仿宋_GB2312" w:eastAsia="仿宋_GB2312" w:cs="仿宋_GB2312"/>
          <w:sz w:val="32"/>
          <w:szCs w:val="32"/>
        </w:rPr>
        <w:t>表格</w:t>
      </w:r>
      <w:r>
        <w:rPr>
          <w:rFonts w:hint="eastAsia" w:ascii="仿宋_GB2312" w:hAnsi="仿宋_GB2312" w:eastAsia="仿宋_GB2312" w:cs="仿宋_GB2312"/>
          <w:sz w:val="32"/>
          <w:szCs w:val="32"/>
          <w:lang w:eastAsia="zh-CN"/>
        </w:rPr>
        <w:t>中的各项数据取数之间存在</w:t>
      </w:r>
      <w:r>
        <w:rPr>
          <w:rFonts w:hint="eastAsia" w:ascii="仿宋_GB2312" w:hAnsi="仿宋_GB2312" w:eastAsia="仿宋_GB2312" w:cs="仿宋_GB2312"/>
          <w:sz w:val="32"/>
          <w:szCs w:val="32"/>
        </w:rPr>
        <w:t>0.01的尾数差异。</w:t>
      </w:r>
      <w:r>
        <w:rPr>
          <w:rFonts w:hint="eastAsia" w:ascii="仿宋_GB2312" w:hAnsi="仿宋_GB2312" w:eastAsia="仿宋_GB2312" w:cs="仿宋_GB2312"/>
          <w:sz w:val="32"/>
          <w:szCs w:val="32"/>
          <w:lang w:val="en-US" w:eastAsia="zh-CN"/>
        </w:rPr>
        <w:t>2、以下文字说明中，部分科目由于预算数为0，无法计算完成年初预算的百分比，故未描述“</w:t>
      </w:r>
      <w:r>
        <w:rPr>
          <w:rFonts w:hint="eastAsia" w:ascii="仿宋_GB2312" w:hAnsi="仿宋_GB2312" w:eastAsia="仿宋_GB2312" w:cs="仿宋_GB2312"/>
          <w:sz w:val="32"/>
          <w:szCs w:val="32"/>
        </w:rPr>
        <w:t>完成年初预算的%</w:t>
      </w:r>
      <w:r>
        <w:rPr>
          <w:rFonts w:hint="eastAsia" w:ascii="仿宋_GB2312" w:hAnsi="仿宋_GB2312" w:eastAsia="仿宋_GB2312" w:cs="仿宋_GB2312"/>
          <w:sz w:val="32"/>
          <w:szCs w:val="32"/>
          <w:lang w:val="en-US" w:eastAsia="zh-CN"/>
        </w:rPr>
        <w:t>”。</w:t>
      </w:r>
      <w:r>
        <w:rPr>
          <w:rFonts w:hint="eastAsia" w:ascii="仿宋_GB2312" w:hAnsi="仿宋_GB2312" w:eastAsia="仿宋_GB2312" w:cs="仿宋_GB2312"/>
          <w:sz w:val="32"/>
          <w:szCs w:val="32"/>
        </w:rPr>
        <w:t>）</w:t>
      </w:r>
    </w:p>
    <w:p w14:paraId="2411C08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一、收入支出决算总体情况说明</w:t>
      </w:r>
    </w:p>
    <w:p w14:paraId="5CDCBAD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年度收、支总计</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87.37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11.55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工资福利支出、对个人和家庭的补助支出、资本性支出较上年增加，所以本年度收、支总计有增加。</w:t>
      </w:r>
    </w:p>
    <w:p w14:paraId="07DA9E3F">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二、收入决算情况说明</w:t>
      </w:r>
    </w:p>
    <w:p w14:paraId="2A53B2A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年度收入合计</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万元，其中：财政拨款收入</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%；上级补助收入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%；事业收入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%；附属单位上缴收入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%；其他收入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2D1A2B4D">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三、支出决算情况说明</w:t>
      </w:r>
    </w:p>
    <w:p w14:paraId="28222937">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年度支出合计</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%；上缴上级支出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%；经营支出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%；对附属单位补助支出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w:t>
      </w:r>
    </w:p>
    <w:p w14:paraId="69857526">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四、财政拨款收入支出决算总体情况说明</w:t>
      </w:r>
    </w:p>
    <w:p w14:paraId="4ED35F49">
      <w:pPr>
        <w:pStyle w:val="12"/>
        <w:keepNext w:val="0"/>
        <w:keepLines w:val="0"/>
        <w:pageBreakBefore w:val="0"/>
        <w:widowControl w:val="0"/>
        <w:kinsoku/>
        <w:wordWrap/>
        <w:overflowPunct/>
        <w:topLinePunct w:val="0"/>
        <w:bidi w:val="0"/>
        <w:snapToGrid/>
        <w:spacing w:line="600" w:lineRule="exact"/>
        <w:textAlignment w:val="auto"/>
        <w:rPr>
          <w:rFonts w:hint="eastAsia" w:ascii="仿宋_GB2312" w:hAnsi="仿宋_GB2312" w:eastAsia="仿宋_GB2312" w:cs="仿宋_GB2312"/>
          <w:sz w:val="32"/>
          <w:szCs w:val="32"/>
          <w:lang w:eastAsia="zh-CN"/>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 xml:space="preserve"> 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年度财政拨款收、支总计</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万元，与上年相比，增加</w:t>
      </w:r>
      <w:r>
        <w:rPr>
          <w:rFonts w:hint="eastAsia" w:ascii="仿宋_GB2312" w:hAnsi="仿宋_GB2312" w:eastAsia="仿宋_GB2312" w:cs="仿宋_GB2312"/>
          <w:sz w:val="32"/>
          <w:szCs w:val="32"/>
          <w:lang w:val="en-US" w:eastAsia="zh-CN"/>
        </w:rPr>
        <w:t>87.37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11.55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工资福利支出和对个人和家庭的补助支出较上年增加，所以本年度财政拨款收、支总计有增加。</w:t>
      </w:r>
    </w:p>
    <w:p w14:paraId="4BB30A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五、一般公共预算财政拨款支出决算情况说明</w:t>
      </w:r>
    </w:p>
    <w:p w14:paraId="6023283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（一）一般公共预算财政拨款支出决算总体情况</w:t>
      </w:r>
    </w:p>
    <w:p w14:paraId="36F15B18">
      <w:pPr>
        <w:pStyle w:val="12"/>
        <w:keepNext w:val="0"/>
        <w:keepLines w:val="0"/>
        <w:pageBreakBefore w:val="0"/>
        <w:widowControl w:val="0"/>
        <w:kinsoku/>
        <w:wordWrap/>
        <w:overflowPunct/>
        <w:topLinePunct w:val="0"/>
        <w:bidi w:val="0"/>
        <w:snapToGrid/>
        <w:spacing w:line="600" w:lineRule="exact"/>
        <w:ind w:firstLine="480" w:firstLineChars="150"/>
        <w:textAlignment w:val="auto"/>
        <w:rPr>
          <w:rFonts w:hint="eastAsia" w:ascii="仿宋_GB2312" w:hAnsi="仿宋_GB2312" w:eastAsia="仿宋_GB2312" w:cs="仿宋_GB2312"/>
          <w:i/>
          <w:iCs/>
          <w:color w:val="FF0000"/>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万元，占本年支出合计的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%，与上年相比，财政拨款支出增加</w:t>
      </w:r>
      <w:r>
        <w:rPr>
          <w:rFonts w:hint="eastAsia" w:ascii="仿宋_GB2312" w:hAnsi="仿宋_GB2312" w:eastAsia="仿宋_GB2312" w:cs="仿宋_GB2312"/>
          <w:sz w:val="32"/>
          <w:szCs w:val="32"/>
          <w:lang w:val="en-US" w:eastAsia="zh-CN"/>
        </w:rPr>
        <w:t>87.37</w:t>
      </w:r>
      <w:r>
        <w:rPr>
          <w:rFonts w:hint="eastAsia" w:ascii="仿宋_GB2312" w:hAnsi="仿宋_GB2312" w:eastAsia="仿宋_GB2312" w:cs="仿宋_GB2312"/>
          <w:sz w:val="32"/>
          <w:szCs w:val="32"/>
        </w:rPr>
        <w:t>万元，增长</w:t>
      </w:r>
      <w:r>
        <w:rPr>
          <w:rFonts w:hint="eastAsia" w:ascii="仿宋_GB2312" w:hAnsi="仿宋_GB2312" w:eastAsia="仿宋_GB2312" w:cs="仿宋_GB2312"/>
          <w:sz w:val="32"/>
          <w:szCs w:val="32"/>
          <w:lang w:val="en-US" w:eastAsia="zh-CN"/>
        </w:rPr>
        <w:t>11.55</w:t>
      </w:r>
      <w:r>
        <w:rPr>
          <w:rFonts w:hint="eastAsia" w:ascii="仿宋_GB2312" w:hAnsi="仿宋_GB2312" w:eastAsia="仿宋_GB2312" w:cs="仿宋_GB2312"/>
          <w:sz w:val="32"/>
          <w:szCs w:val="32"/>
        </w:rPr>
        <w:t>%，主要是因为</w:t>
      </w:r>
      <w:r>
        <w:rPr>
          <w:rFonts w:hint="eastAsia" w:ascii="仿宋_GB2312" w:hAnsi="仿宋_GB2312" w:eastAsia="仿宋_GB2312" w:cs="仿宋_GB2312"/>
          <w:sz w:val="32"/>
          <w:szCs w:val="32"/>
          <w:lang w:eastAsia="zh-CN"/>
        </w:rPr>
        <w:t>工资福利支出和对个人和家庭的补助支出较上年增加，所以本年度财政拨款收、支总计有增加。</w:t>
      </w:r>
    </w:p>
    <w:p w14:paraId="66C54C85">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（二）一般公共预算财政拨款支出决算结构情况</w:t>
      </w:r>
    </w:p>
    <w:p w14:paraId="3E7E66B3">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万元，主要用于以下方面：</w:t>
      </w:r>
      <w:r>
        <w:rPr>
          <w:rFonts w:hint="eastAsia" w:ascii="仿宋_GB2312" w:hAnsi="仿宋_GB2312" w:eastAsia="仿宋_GB2312" w:cs="仿宋_GB2312"/>
          <w:sz w:val="32"/>
          <w:szCs w:val="32"/>
          <w:lang w:eastAsia="zh-CN"/>
        </w:rPr>
        <w:t>社会保障和就业支出类</w:t>
      </w:r>
      <w:r>
        <w:rPr>
          <w:rFonts w:hint="eastAsia" w:ascii="仿宋_GB2312" w:hAnsi="仿宋_GB2312" w:eastAsia="仿宋_GB2312" w:cs="仿宋_GB2312"/>
          <w:sz w:val="32"/>
          <w:szCs w:val="32"/>
          <w:lang w:val="en-US" w:eastAsia="zh-CN"/>
        </w:rPr>
        <w:t>58万元，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6.88</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eastAsia="zh-CN"/>
        </w:rPr>
        <w:t>；</w:t>
      </w:r>
      <w:r>
        <w:rPr>
          <w:rFonts w:hint="eastAsia" w:ascii="仿宋_GB2312" w:hAnsi="仿宋_GB2312" w:eastAsia="仿宋_GB2312" w:cs="仿宋_GB2312"/>
          <w:sz w:val="32"/>
          <w:szCs w:val="32"/>
          <w:lang w:val="en-US" w:eastAsia="zh-CN"/>
        </w:rPr>
        <w:t>卫生健康支出类747.64万元，</w:t>
      </w:r>
      <w:r>
        <w:rPr>
          <w:rFonts w:hint="eastAsia" w:ascii="仿宋_GB2312" w:hAnsi="仿宋_GB2312" w:eastAsia="仿宋_GB2312" w:cs="仿宋_GB2312"/>
          <w:sz w:val="32"/>
          <w:szCs w:val="32"/>
        </w:rPr>
        <w:t>占</w:t>
      </w:r>
      <w:r>
        <w:rPr>
          <w:rFonts w:hint="eastAsia" w:ascii="仿宋_GB2312" w:hAnsi="仿宋_GB2312" w:eastAsia="仿宋_GB2312" w:cs="仿宋_GB2312"/>
          <w:sz w:val="32"/>
          <w:szCs w:val="32"/>
          <w:lang w:val="en-US" w:eastAsia="zh-CN"/>
        </w:rPr>
        <w:t>88.63</w:t>
      </w:r>
      <w:r>
        <w:rPr>
          <w:rFonts w:hint="eastAsia" w:ascii="仿宋_GB2312" w:hAnsi="仿宋_GB2312" w:eastAsia="仿宋_GB2312" w:cs="仿宋_GB2312"/>
          <w:sz w:val="32"/>
          <w:szCs w:val="32"/>
          <w:u w:val="none"/>
        </w:rPr>
        <w:t>%</w:t>
      </w:r>
      <w:r>
        <w:rPr>
          <w:rFonts w:hint="eastAsia" w:ascii="仿宋_GB2312" w:hAnsi="仿宋_GB2312" w:eastAsia="仿宋_GB2312" w:cs="仿宋_GB2312"/>
          <w:sz w:val="32"/>
          <w:szCs w:val="32"/>
          <w:u w:val="none"/>
          <w:lang w:val="en-US" w:eastAsia="zh-CN"/>
        </w:rPr>
        <w:t>;住房保障支出类37.88万元，</w:t>
      </w:r>
      <w:r>
        <w:rPr>
          <w:rFonts w:hint="eastAsia" w:ascii="仿宋_GB2312" w:hAnsi="仿宋_GB2312" w:eastAsia="仿宋_GB2312" w:cs="仿宋_GB2312"/>
          <w:sz w:val="32"/>
          <w:szCs w:val="32"/>
          <w:lang w:val="en-US" w:eastAsia="zh-CN"/>
        </w:rPr>
        <w:t>占4.49%。</w:t>
      </w:r>
    </w:p>
    <w:p w14:paraId="5CDBADF9">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b w:val="0"/>
          <w:bCs/>
          <w:sz w:val="32"/>
          <w:szCs w:val="32"/>
        </w:rPr>
      </w:pPr>
      <w:r>
        <w:rPr>
          <w:rFonts w:hint="eastAsia" w:ascii="仿宋_GB2312" w:hAnsi="仿宋_GB2312" w:eastAsia="仿宋_GB2312" w:cs="仿宋_GB2312"/>
          <w:b w:val="0"/>
          <w:bCs/>
          <w:sz w:val="32"/>
          <w:szCs w:val="32"/>
        </w:rPr>
        <w:t>（三）一般公共预算财政拨款支出决算具体情况</w:t>
      </w:r>
    </w:p>
    <w:p w14:paraId="5B07DAE0">
      <w:pPr>
        <w:pStyle w:val="12"/>
        <w:keepNext w:val="0"/>
        <w:keepLines w:val="0"/>
        <w:pageBreakBefore w:val="0"/>
        <w:widowControl w:val="0"/>
        <w:kinsoku/>
        <w:wordWrap/>
        <w:overflowPunct/>
        <w:topLinePunct w:val="0"/>
        <w:bidi w:val="0"/>
        <w:snapToGrid/>
        <w:spacing w:line="600" w:lineRule="exact"/>
        <w:ind w:firstLine="800" w:firstLineChars="25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年度财政拨款支出年初预算数为</w:t>
      </w:r>
      <w:r>
        <w:rPr>
          <w:rFonts w:hint="eastAsia" w:ascii="仿宋_GB2312" w:hAnsi="仿宋_GB2312" w:eastAsia="仿宋_GB2312" w:cs="仿宋_GB2312"/>
          <w:sz w:val="32"/>
          <w:szCs w:val="32"/>
          <w:lang w:val="en-US" w:eastAsia="zh-CN"/>
        </w:rPr>
        <w:t>745.63</w:t>
      </w:r>
      <w:r>
        <w:rPr>
          <w:rFonts w:hint="eastAsia" w:ascii="仿宋_GB2312" w:hAnsi="仿宋_GB2312" w:eastAsia="仿宋_GB2312" w:cs="仿宋_GB2312"/>
          <w:sz w:val="32"/>
          <w:szCs w:val="32"/>
        </w:rPr>
        <w:t>万元，支出决算数为</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113.13</w:t>
      </w:r>
      <w:r>
        <w:rPr>
          <w:rFonts w:hint="eastAsia" w:ascii="仿宋_GB2312" w:hAnsi="仿宋_GB2312" w:eastAsia="仿宋_GB2312" w:cs="仿宋_GB2312"/>
          <w:sz w:val="32"/>
          <w:szCs w:val="32"/>
        </w:rPr>
        <w:t>%，其中：</w:t>
      </w:r>
    </w:p>
    <w:p w14:paraId="24E35B14">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行政事业单位养老支出</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机关事业单位基本养老保险缴费支出</w:t>
      </w:r>
      <w:r>
        <w:rPr>
          <w:rFonts w:hint="eastAsia" w:ascii="仿宋_GB2312" w:hAnsi="仿宋_GB2312" w:eastAsia="仿宋_GB2312" w:cs="仿宋_GB2312"/>
          <w:sz w:val="32"/>
          <w:szCs w:val="32"/>
        </w:rPr>
        <w:t>（项）。</w:t>
      </w:r>
    </w:p>
    <w:p w14:paraId="4178B897">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55.01</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53.53</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97.31</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小</w:t>
      </w:r>
      <w:r>
        <w:rPr>
          <w:rFonts w:hint="eastAsia" w:ascii="仿宋_GB2312" w:hAnsi="仿宋_GB2312" w:eastAsia="仿宋_GB2312" w:cs="仿宋_GB2312"/>
          <w:sz w:val="32"/>
          <w:szCs w:val="32"/>
        </w:rPr>
        <w:t>于年初预算数的</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:2024年度本单位3人在职转退休，1人调出，所以支出决算数小于年初预算数。</w:t>
      </w:r>
    </w:p>
    <w:p w14:paraId="64C31A9F">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社会保障和就业支出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残疾人事业</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其他残疾人事业支出</w:t>
      </w:r>
      <w:r>
        <w:rPr>
          <w:rFonts w:hint="eastAsia" w:ascii="仿宋_GB2312" w:hAnsi="仿宋_GB2312" w:eastAsia="仿宋_GB2312" w:cs="仿宋_GB2312"/>
          <w:sz w:val="32"/>
          <w:szCs w:val="32"/>
        </w:rPr>
        <w:t>（项）。</w:t>
      </w:r>
    </w:p>
    <w:p w14:paraId="5643B4CE">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4.47</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4.47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w:t>
      </w:r>
      <w:r>
        <w:rPr>
          <w:rFonts w:hint="eastAsia" w:ascii="仿宋_GB2312" w:hAnsi="仿宋_GB2312" w:eastAsia="仿宋_GB2312" w:cs="仿宋_GB2312"/>
          <w:sz w:val="32"/>
          <w:szCs w:val="32"/>
          <w:lang w:eastAsia="zh-CN"/>
        </w:rPr>
        <w:t>等</w:t>
      </w:r>
      <w:r>
        <w:rPr>
          <w:rFonts w:hint="eastAsia" w:ascii="仿宋_GB2312" w:hAnsi="仿宋_GB2312" w:eastAsia="仿宋_GB2312" w:cs="仿宋_GB2312"/>
          <w:sz w:val="32"/>
          <w:szCs w:val="32"/>
        </w:rPr>
        <w:t>于年初预算数的</w:t>
      </w:r>
      <w:r>
        <w:rPr>
          <w:rFonts w:hint="eastAsia" w:ascii="仿宋_GB2312" w:hAnsi="仿宋_GB2312" w:eastAsia="仿宋_GB2312" w:cs="仿宋_GB2312"/>
          <w:sz w:val="32"/>
          <w:szCs w:val="32"/>
          <w:lang w:eastAsia="zh-CN"/>
        </w:rPr>
        <w:t>主要原因是</w:t>
      </w:r>
      <w:r>
        <w:rPr>
          <w:rFonts w:hint="eastAsia" w:ascii="仿宋_GB2312" w:hAnsi="仿宋_GB2312" w:eastAsia="仿宋_GB2312" w:cs="仿宋_GB2312"/>
          <w:sz w:val="32"/>
          <w:szCs w:val="32"/>
          <w:lang w:val="en-US" w:eastAsia="zh-CN"/>
        </w:rPr>
        <w:t>:严格执行预算管理制度，按财政、税务通知要求及时足额缴纳2024年度残保金。</w:t>
      </w:r>
    </w:p>
    <w:p w14:paraId="10D38971">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基层医疗卫生机构</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其他基层医疗卫生机构支出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14:paraId="1DD42371">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23.47</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该项支出为2024年度中央下拨卫生监督机构能力建设经费，未包含在年初市级财政预算中，所以支出决算数大于年初预算数</w:t>
      </w:r>
      <w:r>
        <w:rPr>
          <w:rFonts w:hint="eastAsia" w:ascii="仿宋_GB2312" w:hAnsi="仿宋_GB2312" w:eastAsia="仿宋_GB2312" w:cs="仿宋_GB2312"/>
          <w:sz w:val="32"/>
          <w:szCs w:val="32"/>
          <w:lang w:eastAsia="zh-CN"/>
        </w:rPr>
        <w:t>。</w:t>
      </w:r>
    </w:p>
    <w:p w14:paraId="501FC667">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卫生监督机构</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14:paraId="40F616E1">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630.26</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655.57</w:t>
      </w:r>
      <w:r>
        <w:rPr>
          <w:rFonts w:hint="eastAsia" w:ascii="仿宋_GB2312" w:hAnsi="仿宋_GB2312" w:eastAsia="仿宋_GB2312" w:cs="仿宋_GB2312"/>
          <w:sz w:val="32"/>
          <w:szCs w:val="32"/>
        </w:rPr>
        <w:t>万元，完成年初预算的</w:t>
      </w:r>
      <w:r>
        <w:rPr>
          <w:rFonts w:hint="eastAsia" w:ascii="仿宋_GB2312" w:hAnsi="仿宋_GB2312" w:eastAsia="仿宋_GB2312" w:cs="仿宋_GB2312"/>
          <w:sz w:val="32"/>
          <w:szCs w:val="32"/>
          <w:lang w:val="en-US" w:eastAsia="zh-CN"/>
        </w:rPr>
        <w:t>104.02</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2024年12月下达的十三月工资奖和2023</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的非税收入超收返还均</w:t>
      </w:r>
      <w:r>
        <w:rPr>
          <w:rFonts w:hint="eastAsia" w:ascii="仿宋_GB2312" w:hAnsi="仿宋_GB2312" w:eastAsia="仿宋_GB2312" w:cs="仿宋_GB2312"/>
          <w:sz w:val="32"/>
          <w:szCs w:val="32"/>
          <w:lang w:val="en-US" w:eastAsia="zh-CN"/>
        </w:rPr>
        <w:t>未包含在年初部门预算中，所以支出决算数大于年初预算数</w:t>
      </w:r>
      <w:r>
        <w:rPr>
          <w:rFonts w:hint="eastAsia" w:ascii="仿宋_GB2312" w:hAnsi="仿宋_GB2312" w:eastAsia="仿宋_GB2312" w:cs="仿宋_GB2312"/>
          <w:sz w:val="32"/>
          <w:szCs w:val="32"/>
          <w:lang w:eastAsia="zh-CN"/>
        </w:rPr>
        <w:t>。</w:t>
      </w:r>
    </w:p>
    <w:p w14:paraId="77194E08">
      <w:pPr>
        <w:pStyle w:val="12"/>
        <w:keepNext w:val="0"/>
        <w:keepLines w:val="0"/>
        <w:pageBreakBefore w:val="0"/>
        <w:kinsoku/>
        <w:wordWrap/>
        <w:overflowPunct/>
        <w:topLinePunct w:val="0"/>
        <w:bidi w:val="0"/>
        <w:spacing w:line="580" w:lineRule="exact"/>
        <w:ind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5、</w:t>
      </w:r>
      <w:r>
        <w:rPr>
          <w:rFonts w:hint="eastAsia" w:ascii="仿宋_GB2312" w:hAnsi="仿宋_GB2312" w:eastAsia="仿宋_GB2312" w:cs="仿宋_GB2312"/>
          <w:sz w:val="32"/>
          <w:szCs w:val="32"/>
          <w:lang w:eastAsia="zh-CN"/>
        </w:rPr>
        <w:t>卫生健康支出</w:t>
      </w:r>
      <w:r>
        <w:rPr>
          <w:rFonts w:hint="eastAsia" w:ascii="仿宋_GB2312" w:hAnsi="仿宋_GB2312" w:eastAsia="仿宋_GB2312" w:cs="仿宋_GB2312"/>
          <w:sz w:val="32"/>
          <w:szCs w:val="32"/>
        </w:rPr>
        <w:t>（类）</w:t>
      </w:r>
      <w:r>
        <w:rPr>
          <w:rFonts w:hint="eastAsia" w:ascii="仿宋_GB2312" w:hAnsi="仿宋_GB2312" w:eastAsia="仿宋_GB2312" w:cs="仿宋_GB2312"/>
          <w:sz w:val="32"/>
          <w:szCs w:val="32"/>
          <w:lang w:eastAsia="zh-CN"/>
        </w:rPr>
        <w:t>公共卫生</w:t>
      </w:r>
      <w:r>
        <w:rPr>
          <w:rFonts w:hint="eastAsia" w:ascii="仿宋_GB2312" w:hAnsi="仿宋_GB2312" w:eastAsia="仿宋_GB2312" w:cs="仿宋_GB2312"/>
          <w:sz w:val="32"/>
          <w:szCs w:val="32"/>
        </w:rPr>
        <w:t>（款）</w:t>
      </w:r>
      <w:r>
        <w:rPr>
          <w:rFonts w:hint="eastAsia" w:ascii="仿宋_GB2312" w:hAnsi="仿宋_GB2312" w:eastAsia="仿宋_GB2312" w:cs="仿宋_GB2312"/>
          <w:sz w:val="32"/>
          <w:szCs w:val="32"/>
          <w:lang w:eastAsia="zh-CN"/>
        </w:rPr>
        <w:t>其他公共卫生支出</w:t>
      </w:r>
      <w:r>
        <w:rPr>
          <w:rFonts w:hint="eastAsia" w:ascii="仿宋_GB2312" w:hAnsi="仿宋_GB2312" w:eastAsia="仿宋_GB2312" w:cs="仿宋_GB2312"/>
          <w:sz w:val="32"/>
          <w:szCs w:val="32"/>
        </w:rPr>
        <w:t>（项）</w:t>
      </w:r>
      <w:r>
        <w:rPr>
          <w:rFonts w:hint="eastAsia" w:ascii="仿宋_GB2312" w:hAnsi="仿宋_GB2312" w:eastAsia="仿宋_GB2312" w:cs="仿宋_GB2312"/>
          <w:sz w:val="32"/>
          <w:szCs w:val="32"/>
          <w:lang w:eastAsia="zh-CN"/>
        </w:rPr>
        <w:t>。</w:t>
      </w:r>
    </w:p>
    <w:p w14:paraId="56AA0F39">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11.62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sz w:val="32"/>
          <w:szCs w:val="32"/>
        </w:rPr>
        <w:t>决算数大于年初预算数的主要原因是：</w:t>
      </w:r>
      <w:r>
        <w:rPr>
          <w:rFonts w:hint="eastAsia" w:ascii="仿宋_GB2312" w:hAnsi="仿宋_GB2312" w:eastAsia="仿宋_GB2312" w:cs="仿宋_GB2312"/>
          <w:sz w:val="32"/>
          <w:szCs w:val="32"/>
          <w:lang w:val="en-US" w:eastAsia="zh-CN"/>
        </w:rPr>
        <w:t>该项支出为2024年度省补助卫生监督工作经费，未包含在年初市级财政预算中，所以支出决算数大于年初预算数。</w:t>
      </w:r>
    </w:p>
    <w:p w14:paraId="77107C12">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6、</w:t>
      </w:r>
      <w:r>
        <w:rPr>
          <w:rFonts w:hint="eastAsia" w:ascii="Times New Roman" w:hAnsi="Times New Roman" w:eastAsia="仿宋_GB2312"/>
          <w:sz w:val="32"/>
          <w:szCs w:val="32"/>
          <w:lang w:eastAsia="zh-CN"/>
        </w:rPr>
        <w:t>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行政单位医疗</w:t>
      </w:r>
      <w:r>
        <w:rPr>
          <w:rFonts w:hint="eastAsia" w:ascii="Times New Roman" w:hAnsi="Times New Roman" w:eastAsia="仿宋_GB2312"/>
          <w:sz w:val="32"/>
          <w:szCs w:val="32"/>
        </w:rPr>
        <w:t>（项）。</w:t>
      </w:r>
    </w:p>
    <w:p w14:paraId="7624DF36">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20.62</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20.62</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100%，决算数等于年初预算数的主要原因是：认真执行预算管理制度，按社保、税务通知要求及时足额缴纳2024年度医疗保险。</w:t>
      </w:r>
    </w:p>
    <w:p w14:paraId="2BC4AF9D">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7、</w:t>
      </w:r>
      <w:r>
        <w:rPr>
          <w:rFonts w:hint="eastAsia" w:ascii="Times New Roman" w:hAnsi="Times New Roman" w:eastAsia="仿宋_GB2312"/>
          <w:sz w:val="32"/>
          <w:szCs w:val="32"/>
          <w:lang w:eastAsia="zh-CN"/>
        </w:rPr>
        <w:t>卫生健康支出</w:t>
      </w:r>
      <w:r>
        <w:rPr>
          <w:rFonts w:hint="eastAsia" w:ascii="Times New Roman" w:hAnsi="Times New Roman" w:eastAsia="仿宋_GB2312"/>
          <w:sz w:val="32"/>
          <w:szCs w:val="32"/>
        </w:rPr>
        <w:t>（类）</w:t>
      </w:r>
      <w:r>
        <w:rPr>
          <w:rFonts w:hint="eastAsia" w:ascii="Times New Roman" w:hAnsi="Times New Roman" w:eastAsia="仿宋_GB2312"/>
          <w:sz w:val="32"/>
          <w:szCs w:val="32"/>
          <w:lang w:eastAsia="zh-CN"/>
        </w:rPr>
        <w:t>行政事业单位医疗</w:t>
      </w:r>
      <w:r>
        <w:rPr>
          <w:rFonts w:hint="eastAsia" w:ascii="Times New Roman" w:hAnsi="Times New Roman" w:eastAsia="仿宋_GB2312"/>
          <w:sz w:val="32"/>
          <w:szCs w:val="32"/>
        </w:rPr>
        <w:t>（款）</w:t>
      </w:r>
      <w:r>
        <w:rPr>
          <w:rFonts w:hint="eastAsia" w:ascii="Times New Roman" w:hAnsi="Times New Roman" w:eastAsia="仿宋_GB2312"/>
          <w:sz w:val="32"/>
          <w:szCs w:val="32"/>
          <w:lang w:eastAsia="zh-CN"/>
        </w:rPr>
        <w:t>公务员医疗补助</w:t>
      </w:r>
      <w:r>
        <w:rPr>
          <w:rFonts w:hint="eastAsia" w:ascii="Times New Roman" w:hAnsi="Times New Roman" w:eastAsia="仿宋_GB2312"/>
          <w:sz w:val="32"/>
          <w:szCs w:val="32"/>
        </w:rPr>
        <w:t>（项）。</w:t>
      </w:r>
    </w:p>
    <w:p w14:paraId="79DFC722">
      <w:pPr>
        <w:pStyle w:val="12"/>
        <w:keepNext w:val="0"/>
        <w:keepLines w:val="0"/>
        <w:pageBreakBefore w:val="0"/>
        <w:widowControl w:val="0"/>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18.49</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36.35</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196.59%，决算数大于年初预算数的主要原因是：2023年12月一体化系统升级管理，12月提前关账，导致单位在职和退休人员2023年度的医保铺底金未能在12月及时转账支付，申请将该项经费结转到了2024年支付使用。</w:t>
      </w:r>
    </w:p>
    <w:p w14:paraId="3B0A2A7E">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000000"/>
          <w:kern w:val="0"/>
          <w:sz w:val="32"/>
          <w:szCs w:val="32"/>
          <w:lang w:val="en-US" w:eastAsia="zh-CN" w:bidi="ar-SA"/>
        </w:rPr>
        <w:t>8、</w:t>
      </w:r>
      <w:r>
        <w:rPr>
          <w:rFonts w:hint="eastAsia" w:ascii="仿宋_GB2312" w:hAnsi="仿宋_GB2312" w:eastAsia="仿宋_GB2312" w:cs="仿宋_GB2312"/>
          <w:sz w:val="32"/>
          <w:szCs w:val="32"/>
          <w:lang w:val="en-US" w:eastAsia="zh-CN"/>
        </w:rPr>
        <w:t>住房保障支出（类）住房改革支出（款）住房公积金（项）。</w:t>
      </w:r>
    </w:p>
    <w:p w14:paraId="71876815">
      <w:pPr>
        <w:pStyle w:val="12"/>
        <w:keepNext w:val="0"/>
        <w:keepLines w:val="0"/>
        <w:pageBreakBefore w:val="0"/>
        <w:widowControl w:val="0"/>
        <w:numPr>
          <w:ilvl w:val="0"/>
          <w:numId w:val="0"/>
        </w:numPr>
        <w:kinsoku/>
        <w:wordWrap/>
        <w:overflowPunct/>
        <w:topLinePunct w:val="0"/>
        <w:bidi w:val="0"/>
        <w:snapToGrid/>
        <w:spacing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年初预算为</w:t>
      </w:r>
      <w:r>
        <w:rPr>
          <w:rFonts w:hint="eastAsia" w:ascii="仿宋_GB2312" w:hAnsi="仿宋_GB2312" w:eastAsia="仿宋_GB2312" w:cs="仿宋_GB2312"/>
          <w:sz w:val="32"/>
          <w:szCs w:val="32"/>
          <w:lang w:val="en-US" w:eastAsia="zh-CN"/>
        </w:rPr>
        <w:t>39.74</w:t>
      </w:r>
      <w:r>
        <w:rPr>
          <w:rFonts w:hint="eastAsia" w:ascii="仿宋_GB2312" w:hAnsi="仿宋_GB2312" w:eastAsia="仿宋_GB2312" w:cs="仿宋_GB2312"/>
          <w:sz w:val="32"/>
          <w:szCs w:val="32"/>
        </w:rPr>
        <w:t>万元，支出决算为</w:t>
      </w:r>
      <w:r>
        <w:rPr>
          <w:rFonts w:hint="eastAsia" w:ascii="仿宋_GB2312" w:hAnsi="仿宋_GB2312" w:eastAsia="仿宋_GB2312" w:cs="仿宋_GB2312"/>
          <w:sz w:val="32"/>
          <w:szCs w:val="32"/>
          <w:lang w:val="en-US" w:eastAsia="zh-CN"/>
        </w:rPr>
        <w:t>37.88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lang w:eastAsia="zh-CN"/>
        </w:rPr>
        <w:t>完成年初预算的</w:t>
      </w:r>
      <w:r>
        <w:rPr>
          <w:rFonts w:hint="eastAsia" w:ascii="仿宋_GB2312" w:hAnsi="仿宋_GB2312" w:eastAsia="仿宋_GB2312" w:cs="仿宋_GB2312"/>
          <w:sz w:val="32"/>
          <w:szCs w:val="32"/>
          <w:lang w:val="en-US" w:eastAsia="zh-CN"/>
        </w:rPr>
        <w:t>95.32%，决算数小于年初预算数的主要原因是：2024年度本单位3人在职转退休，1人调出，住房公积金缴纳比例调整。</w:t>
      </w:r>
    </w:p>
    <w:p w14:paraId="373E8BA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六、一般公共预算财政拨款基本支出决算情况说明</w:t>
      </w:r>
    </w:p>
    <w:p w14:paraId="293AEB61">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w:t>
      </w:r>
      <w:r>
        <w:rPr>
          <w:rFonts w:hint="eastAsia" w:ascii="仿宋_GB2312" w:hAnsi="仿宋_GB2312" w:eastAsia="仿宋_GB2312" w:cs="仿宋_GB2312"/>
          <w:sz w:val="32"/>
          <w:szCs w:val="32"/>
          <w:lang w:eastAsia="zh-CN"/>
        </w:rPr>
        <w:t>一般公共预算</w:t>
      </w:r>
      <w:r>
        <w:rPr>
          <w:rFonts w:hint="eastAsia" w:ascii="仿宋_GB2312" w:hAnsi="仿宋_GB2312" w:eastAsia="仿宋_GB2312" w:cs="仿宋_GB2312"/>
          <w:sz w:val="32"/>
          <w:szCs w:val="32"/>
        </w:rPr>
        <w:t>财政拨款基本支出</w:t>
      </w:r>
      <w:r>
        <w:rPr>
          <w:rFonts w:hint="eastAsia" w:ascii="仿宋_GB2312" w:hAnsi="仿宋_GB2312" w:eastAsia="仿宋_GB2312" w:cs="仿宋_GB2312"/>
          <w:sz w:val="32"/>
          <w:szCs w:val="32"/>
          <w:lang w:val="en-US" w:eastAsia="zh-CN"/>
        </w:rPr>
        <w:t>843.53</w:t>
      </w:r>
      <w:r>
        <w:rPr>
          <w:rFonts w:hint="eastAsia" w:ascii="仿宋_GB2312" w:hAnsi="仿宋_GB2312" w:eastAsia="仿宋_GB2312" w:cs="仿宋_GB2312"/>
          <w:sz w:val="32"/>
          <w:szCs w:val="32"/>
        </w:rPr>
        <w:t>万元，其中：</w:t>
      </w:r>
    </w:p>
    <w:p w14:paraId="763B7849">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FF0000"/>
          <w:sz w:val="32"/>
          <w:szCs w:val="32"/>
          <w:lang w:eastAsia="zh-CN"/>
        </w:rPr>
      </w:pPr>
      <w:r>
        <w:rPr>
          <w:rFonts w:hint="eastAsia" w:ascii="仿宋_GB2312" w:hAnsi="仿宋_GB2312" w:eastAsia="仿宋_GB2312" w:cs="仿宋_GB2312"/>
          <w:b/>
          <w:bCs/>
          <w:sz w:val="32"/>
          <w:szCs w:val="32"/>
        </w:rPr>
        <w:t>人员经费</w:t>
      </w:r>
      <w:r>
        <w:rPr>
          <w:rFonts w:hint="eastAsia" w:ascii="仿宋_GB2312" w:hAnsi="仿宋_GB2312" w:eastAsia="仿宋_GB2312" w:cs="仿宋_GB2312"/>
          <w:sz w:val="32"/>
          <w:szCs w:val="32"/>
          <w:lang w:val="en-US" w:eastAsia="zh-CN"/>
        </w:rPr>
        <w:t>691.55</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81.98</w:t>
      </w:r>
      <w:r>
        <w:rPr>
          <w:rFonts w:hint="eastAsia" w:ascii="仿宋_GB2312" w:hAnsi="仿宋_GB2312" w:eastAsia="仿宋_GB2312" w:cs="仿宋_GB2312"/>
          <w:sz w:val="32"/>
          <w:szCs w:val="32"/>
        </w:rPr>
        <w:t>%,主要包括基本工资、津贴补贴、奖金、伙食补助费</w:t>
      </w:r>
      <w:r>
        <w:rPr>
          <w:rFonts w:hint="eastAsia" w:ascii="仿宋_GB2312" w:hAnsi="仿宋_GB2312" w:eastAsia="仿宋_GB2312" w:cs="仿宋_GB2312"/>
          <w:sz w:val="32"/>
          <w:szCs w:val="32"/>
          <w:lang w:val="zh-CN"/>
        </w:rPr>
        <w:t>、机关事业单位基本养老保险缴费、职业年金缴费、职工基本医疗保险缴费、公务员医疗补助缴费、其他社会保障缴费、住房公积金、医疗费、其他工资福利支出、退休费、生活补助、医疗费补助、奖励金、其他对个人和家庭的补助</w:t>
      </w:r>
      <w:r>
        <w:rPr>
          <w:rFonts w:hint="eastAsia" w:ascii="仿宋_GB2312" w:hAnsi="仿宋_GB2312" w:eastAsia="仿宋_GB2312" w:cs="仿宋_GB2312"/>
          <w:sz w:val="32"/>
          <w:szCs w:val="32"/>
          <w:lang w:eastAsia="zh-CN"/>
        </w:rPr>
        <w:t>。</w:t>
      </w:r>
    </w:p>
    <w:p w14:paraId="4A7CE8E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b/>
          <w:sz w:val="32"/>
          <w:szCs w:val="32"/>
        </w:rPr>
      </w:pPr>
      <w:r>
        <w:rPr>
          <w:rFonts w:hint="eastAsia" w:ascii="仿宋_GB2312" w:hAnsi="仿宋_GB2312" w:eastAsia="仿宋_GB2312" w:cs="仿宋_GB2312"/>
          <w:b/>
          <w:bCs/>
          <w:sz w:val="32"/>
          <w:szCs w:val="32"/>
        </w:rPr>
        <w:t>公用经费</w:t>
      </w:r>
      <w:r>
        <w:rPr>
          <w:rFonts w:hint="eastAsia" w:ascii="仿宋_GB2312" w:hAnsi="仿宋_GB2312" w:eastAsia="仿宋_GB2312" w:cs="仿宋_GB2312"/>
          <w:sz w:val="32"/>
          <w:szCs w:val="32"/>
          <w:lang w:val="en-US" w:eastAsia="zh-CN"/>
        </w:rPr>
        <w:t>151.98</w:t>
      </w:r>
      <w:r>
        <w:rPr>
          <w:rFonts w:hint="eastAsia" w:ascii="仿宋_GB2312" w:hAnsi="仿宋_GB2312" w:eastAsia="仿宋_GB2312" w:cs="仿宋_GB2312"/>
          <w:sz w:val="32"/>
          <w:szCs w:val="32"/>
        </w:rPr>
        <w:t>万元，占基本支出的</w:t>
      </w:r>
      <w:r>
        <w:rPr>
          <w:rFonts w:hint="eastAsia" w:ascii="仿宋_GB2312" w:hAnsi="仿宋_GB2312" w:eastAsia="仿宋_GB2312" w:cs="仿宋_GB2312"/>
          <w:sz w:val="32"/>
          <w:szCs w:val="32"/>
          <w:lang w:val="en-US" w:eastAsia="zh-CN"/>
        </w:rPr>
        <w:t>18.02</w:t>
      </w:r>
      <w:r>
        <w:rPr>
          <w:rFonts w:hint="eastAsia" w:ascii="仿宋_GB2312" w:hAnsi="仿宋_GB2312" w:eastAsia="仿宋_GB2312" w:cs="仿宋_GB2312"/>
          <w:sz w:val="32"/>
          <w:szCs w:val="32"/>
        </w:rPr>
        <w:t>%，主要包括办公费、印刷费、咨询费、手续费</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水费、电费、邮电费、取暖费、物业管理费、差旅费、因公出国（境）费用、维修（护）费、租赁费、会议费、培训费、公务接待费、专用材料费、劳务费、委托业务费、工会经费、福利费、公务用车运行维护费、其他交通费用、税金及附加费用、其他商品和服务支出、办公设备购置、专用设备购置、信息网络及软件购置更新、公务用车购置、其他交通工具购置、文物和陈列品购置、无形资产购置、其他资本性支出、</w:t>
      </w:r>
      <w:r>
        <w:rPr>
          <w:rFonts w:hint="eastAsia" w:ascii="仿宋_GB2312" w:hAnsi="仿宋_GB2312" w:eastAsia="仿宋_GB2312" w:cs="仿宋_GB2312"/>
          <w:sz w:val="32"/>
          <w:szCs w:val="32"/>
          <w:lang w:eastAsia="zh-CN"/>
        </w:rPr>
        <w:t>其他支出、</w:t>
      </w:r>
      <w:r>
        <w:rPr>
          <w:rFonts w:hint="eastAsia" w:ascii="仿宋_GB2312" w:hAnsi="仿宋_GB2312" w:eastAsia="仿宋_GB2312" w:cs="仿宋_GB2312"/>
          <w:sz w:val="32"/>
          <w:szCs w:val="32"/>
        </w:rPr>
        <w:t>赠与。</w:t>
      </w:r>
    </w:p>
    <w:p w14:paraId="238B276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七、政府性基金预算收入支出决算情况</w:t>
      </w:r>
    </w:p>
    <w:p w14:paraId="7B96C244">
      <w:pPr>
        <w:keepNext w:val="0"/>
        <w:keepLines w:val="0"/>
        <w:pageBreakBefore w:val="0"/>
        <w:widowControl w:val="0"/>
        <w:kinsoku/>
        <w:wordWrap/>
        <w:overflowPunct/>
        <w:topLinePunct w:val="0"/>
        <w:autoSpaceDE w:val="0"/>
        <w:autoSpaceDN w:val="0"/>
        <w:bidi w:val="0"/>
        <w:adjustRightInd w:val="0"/>
        <w:snapToGrid/>
        <w:spacing w:line="600" w:lineRule="exact"/>
        <w:textAlignment w:val="auto"/>
        <w:rPr>
          <w:rFonts w:hint="eastAsia" w:ascii="黑体" w:hAnsi="黑体" w:eastAsia="黑体" w:cs="黑体"/>
          <w:b w:val="0"/>
          <w:bCs/>
          <w:color w:val="000000"/>
          <w:kern w:val="0"/>
          <w:sz w:val="32"/>
          <w:szCs w:val="32"/>
          <w:highlight w:val="none"/>
          <w:lang w:val="en-US" w:eastAsia="zh-CN" w:bidi="ar-SA"/>
        </w:rPr>
      </w:pPr>
      <w:r>
        <w:rPr>
          <w:rFonts w:hint="eastAsia" w:ascii="Times New Roman" w:hAnsi="Times New Roman" w:eastAsia="仿宋_GB2312"/>
          <w:sz w:val="32"/>
          <w:szCs w:val="32"/>
        </w:rPr>
        <w:t xml:space="preserve">    </w:t>
      </w: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年度政府性基金预算财政拨款收入</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万元；年初结转和结余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万元，其中基本支出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万元，项目支出</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万元；年末结转和结余</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w:t>
      </w:r>
    </w:p>
    <w:p w14:paraId="28BDC771">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color w:val="000000"/>
          <w:kern w:val="0"/>
          <w:sz w:val="32"/>
          <w:szCs w:val="32"/>
          <w:lang w:val="en-US" w:eastAsia="zh-CN" w:bidi="ar-SA"/>
        </w:rPr>
      </w:pPr>
      <w:r>
        <w:rPr>
          <w:rFonts w:hint="eastAsia" w:ascii="黑体" w:hAnsi="黑体" w:eastAsia="黑体" w:cs="黑体"/>
          <w:b w:val="0"/>
          <w:bCs/>
          <w:color w:val="000000"/>
          <w:kern w:val="0"/>
          <w:sz w:val="32"/>
          <w:szCs w:val="32"/>
          <w:lang w:val="en-US" w:eastAsia="zh-CN" w:bidi="ar-SA"/>
        </w:rPr>
        <w:t>八、国有资本经营预算财政拨款支出决算情况</w:t>
      </w:r>
    </w:p>
    <w:p w14:paraId="64D19482">
      <w:pPr>
        <w:keepNext w:val="0"/>
        <w:keepLines w:val="0"/>
        <w:pageBreakBefore w:val="0"/>
        <w:widowControl w:val="0"/>
        <w:numPr>
          <w:ilvl w:val="0"/>
          <w:numId w:val="0"/>
        </w:numPr>
        <w:kinsoku/>
        <w:wordWrap/>
        <w:overflowPunct/>
        <w:topLinePunct w:val="0"/>
        <w:autoSpaceDE w:val="0"/>
        <w:autoSpaceDN w:val="0"/>
        <w:bidi w:val="0"/>
        <w:adjustRightInd w:val="0"/>
        <w:snapToGrid/>
        <w:spacing w:line="600" w:lineRule="exact"/>
        <w:ind w:firstLine="640" w:firstLineChars="200"/>
        <w:textAlignment w:val="auto"/>
        <w:rPr>
          <w:rFonts w:hint="eastAsia" w:ascii="黑体" w:hAnsi="黑体" w:eastAsia="黑体" w:cs="黑体"/>
          <w:b w:val="0"/>
          <w:bCs/>
          <w:sz w:val="32"/>
          <w:szCs w:val="32"/>
        </w:rPr>
      </w:pPr>
      <w:r>
        <w:rPr>
          <w:rFonts w:hint="eastAsia" w:ascii="仿宋_GB2312" w:hAnsi="仿宋_GB2312" w:eastAsia="仿宋_GB2312" w:cs="仿宋_GB2312"/>
          <w:color w:val="000000"/>
          <w:kern w:val="0"/>
          <w:sz w:val="32"/>
          <w:szCs w:val="32"/>
          <w:highlight w:val="none"/>
          <w:lang w:val="en-US" w:eastAsia="zh-CN" w:bidi="ar-SA"/>
        </w:rPr>
        <w:t>2024年度国有资本经营预算财政拨款收入0万元；年初结转和结余0万元；支出0万元，</w:t>
      </w:r>
      <w:r>
        <w:rPr>
          <w:rFonts w:hint="eastAsia" w:ascii="仿宋_GB2312" w:hAnsi="仿宋_GB2312" w:eastAsia="仿宋_GB2312" w:cs="仿宋_GB2312"/>
          <w:i w:val="0"/>
          <w:iCs/>
          <w:color w:val="000000" w:themeColor="text1"/>
          <w:kern w:val="0"/>
          <w:sz w:val="32"/>
          <w:szCs w:val="32"/>
          <w:highlight w:val="none"/>
          <w:lang w:val="en-US" w:eastAsia="zh-CN" w:bidi="ar-SA"/>
          <w14:textFill>
            <w14:solidFill>
              <w14:schemeClr w14:val="tx1"/>
            </w14:solidFill>
          </w14:textFill>
        </w:rPr>
        <w:t>其中：基本支出0万元，项目支出0万元</w:t>
      </w:r>
      <w:r>
        <w:rPr>
          <w:rFonts w:hint="eastAsia" w:ascii="仿宋_GB2312" w:hAnsi="仿宋_GB2312" w:eastAsia="仿宋_GB2312" w:cs="仿宋_GB2312"/>
          <w:color w:val="000000"/>
          <w:kern w:val="0"/>
          <w:sz w:val="32"/>
          <w:szCs w:val="32"/>
          <w:highlight w:val="none"/>
          <w:lang w:val="en-US" w:eastAsia="zh-CN" w:bidi="ar-SA"/>
        </w:rPr>
        <w:t>；年末结转和结余0万元。</w:t>
      </w:r>
    </w:p>
    <w:p w14:paraId="5876C25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hAnsi="黑体" w:cs="黑体"/>
          <w:b w:val="0"/>
          <w:bCs/>
          <w:sz w:val="32"/>
          <w:szCs w:val="32"/>
          <w:lang w:eastAsia="zh-CN"/>
        </w:rPr>
        <w:t>九、</w:t>
      </w:r>
      <w:r>
        <w:rPr>
          <w:rFonts w:hint="eastAsia" w:ascii="黑体" w:hAnsi="黑体" w:eastAsia="黑体" w:cs="黑体"/>
          <w:b w:val="0"/>
          <w:bCs/>
          <w:sz w:val="32"/>
          <w:szCs w:val="32"/>
        </w:rPr>
        <w:t>财政拨款三公经费支出决算情况说明</w:t>
      </w:r>
    </w:p>
    <w:p w14:paraId="6298EF1D">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（一）</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经费财政拨款支出决算总体情况说明</w:t>
      </w:r>
    </w:p>
    <w:p w14:paraId="730E9443">
      <w:pPr>
        <w:pStyle w:val="12"/>
        <w:overflowPunct w:val="0"/>
        <w:autoSpaceDE/>
        <w:autoSpaceDN/>
        <w:spacing w:line="600" w:lineRule="exact"/>
        <w:ind w:firstLine="640" w:firstLineChars="200"/>
        <w:jc w:val="both"/>
        <w:rPr>
          <w:rFonts w:ascii="Times New Roman" w:hAnsi="Times New Roman" w:eastAsia="仿宋_GB2312" w:cs="Times New Roman"/>
          <w:sz w:val="32"/>
          <w:szCs w:val="32"/>
          <w:highlight w:val="yellow"/>
        </w:rPr>
      </w:pPr>
      <w:r>
        <w:rPr>
          <w:rFonts w:ascii="Times New Roman" w:hAnsi="Times New Roman" w:eastAsia="仿宋_GB2312" w:cs="Times New Roman"/>
          <w:sz w:val="32"/>
          <w:szCs w:val="32"/>
        </w:rPr>
        <w:t>2024年度“三公”经费财政拨款支出预算为</w:t>
      </w:r>
      <w:r>
        <w:rPr>
          <w:rFonts w:hint="eastAsia" w:ascii="Times New Roman" w:hAnsi="Times New Roman" w:eastAsia="仿宋_GB2312" w:cs="Times New Roman"/>
          <w:sz w:val="32"/>
          <w:szCs w:val="32"/>
          <w:lang w:val="en-US" w:eastAsia="zh-CN"/>
        </w:rPr>
        <w:t>10.93</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10.93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1.86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20.51</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仿宋_GB2312" w:hAnsi="仿宋_GB2312" w:eastAsia="仿宋_GB2312" w:cs="仿宋_GB2312"/>
          <w:sz w:val="32"/>
          <w:szCs w:val="32"/>
          <w:lang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2024年度业务量增加，公务出行频率提高；车辆使用年限长，部分零部件老化，维修成本居高，导致2024年度公车运行维护费较上年有所增加，所以</w:t>
      </w:r>
      <w:r>
        <w:rPr>
          <w:rFonts w:ascii="Times New Roman" w:hAnsi="Times New Roman" w:eastAsia="仿宋_GB2312" w:cs="Times New Roman"/>
          <w:sz w:val="32"/>
          <w:szCs w:val="32"/>
        </w:rPr>
        <w:t>2024年度“三公”经费决算数大于上年数</w:t>
      </w:r>
      <w:r>
        <w:rPr>
          <w:rFonts w:ascii="Times New Roman" w:hAnsi="Times New Roman" w:eastAsia="仿宋_GB2312" w:cs="Times New Roman"/>
          <w:sz w:val="32"/>
          <w:szCs w:val="32"/>
        </w:rPr>
        <w:t>。</w:t>
      </w:r>
    </w:p>
    <w:p w14:paraId="352D03A7">
      <w:pPr>
        <w:pStyle w:val="12"/>
        <w:overflowPunct w:val="0"/>
        <w:autoSpaceDE/>
        <w:autoSpaceDN/>
        <w:spacing w:line="600" w:lineRule="exact"/>
        <w:ind w:firstLine="640" w:firstLineChars="200"/>
        <w:jc w:val="both"/>
        <w:rPr>
          <w:rFonts w:ascii="Times New Roman" w:hAnsi="Times New Roman" w:eastAsia="楷体_GB2312" w:cs="Times New Roman"/>
          <w:b/>
          <w:sz w:val="32"/>
          <w:szCs w:val="32"/>
        </w:rPr>
      </w:pPr>
      <w:r>
        <w:rPr>
          <w:rFonts w:ascii="Times New Roman" w:hAnsi="Times New Roman" w:eastAsia="楷体_GB2312" w:cs="Times New Roman"/>
          <w:b/>
          <w:sz w:val="32"/>
          <w:szCs w:val="32"/>
        </w:rPr>
        <w:t>（二）</w:t>
      </w:r>
      <w:r>
        <w:rPr>
          <w:rFonts w:hint="eastAsia" w:ascii="Times New Roman" w:hAnsi="Times New Roman" w:eastAsia="楷体_GB2312" w:cs="Times New Roman"/>
          <w:b/>
          <w:sz w:val="32"/>
          <w:szCs w:val="32"/>
          <w:lang w:eastAsia="zh-CN"/>
        </w:rPr>
        <w:t>“三公”</w:t>
      </w:r>
      <w:r>
        <w:rPr>
          <w:rFonts w:ascii="Times New Roman" w:hAnsi="Times New Roman" w:eastAsia="楷体_GB2312" w:cs="Times New Roman"/>
          <w:b/>
          <w:sz w:val="32"/>
          <w:szCs w:val="32"/>
        </w:rPr>
        <w:t>经费财政拨款支出决算具体情况说明</w:t>
      </w:r>
    </w:p>
    <w:p w14:paraId="1CF083E8">
      <w:pPr>
        <w:pStyle w:val="12"/>
        <w:overflowPunct w:val="0"/>
        <w:autoSpaceDE/>
        <w:autoSpaceDN/>
        <w:spacing w:line="600" w:lineRule="exact"/>
        <w:ind w:firstLine="640" w:firstLineChars="200"/>
        <w:jc w:val="both"/>
        <w:rPr>
          <w:rFonts w:hint="eastAsia" w:ascii="Times New Roman" w:hAnsi="Times New Roman" w:eastAsia="仿宋_GB2312" w:cs="Times New Roman"/>
          <w:b/>
          <w:bCs/>
          <w:i/>
          <w:color w:val="auto"/>
          <w:sz w:val="32"/>
          <w:szCs w:val="32"/>
          <w:lang w:val="en-US" w:eastAsia="zh-CN"/>
        </w:rPr>
      </w:pPr>
      <w:r>
        <w:rPr>
          <w:rFonts w:ascii="Times New Roman" w:hAnsi="Times New Roman" w:eastAsia="仿宋_GB2312" w:cs="Times New Roman"/>
          <w:sz w:val="32"/>
          <w:szCs w:val="32"/>
        </w:rPr>
        <w:t>1.因公出国（境）费支出预算为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eastAsia="zh-CN"/>
        </w:rPr>
        <w:t>我单位严格按预算执行决算；</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上年</w:t>
      </w:r>
      <w:r>
        <w:rPr>
          <w:rFonts w:hint="eastAsia" w:ascii="Times New Roman" w:hAnsi="Times New Roman" w:eastAsia="仿宋_GB2312" w:cs="Times New Roman"/>
          <w:sz w:val="32"/>
          <w:szCs w:val="32"/>
          <w:lang w:eastAsia="zh-CN"/>
        </w:rPr>
        <w:t>一致，无增减变动，</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eastAsia="zh-CN"/>
        </w:rPr>
        <w:t>未安排因公出国（境）活动</w:t>
      </w:r>
      <w:r>
        <w:rPr>
          <w:rFonts w:ascii="Times New Roman" w:hAnsi="Times New Roman" w:eastAsia="仿宋_GB2312" w:cs="Times New Roman"/>
          <w:sz w:val="32"/>
          <w:szCs w:val="32"/>
        </w:rPr>
        <w:t>。2024年度安排因公出国（境）团组</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个，累计</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人次</w:t>
      </w:r>
      <w:r>
        <w:rPr>
          <w:rFonts w:hint="eastAsia" w:ascii="Times New Roman" w:hAnsi="Times New Roman" w:eastAsia="仿宋_GB2312" w:cs="Times New Roman"/>
          <w:sz w:val="32"/>
          <w:szCs w:val="32"/>
          <w:lang w:eastAsia="zh-CN"/>
        </w:rPr>
        <w:t>。</w:t>
      </w:r>
    </w:p>
    <w:p w14:paraId="65978CAB">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2.公务用车购置费及运行维护费支出预算为</w:t>
      </w:r>
      <w:r>
        <w:rPr>
          <w:rFonts w:hint="eastAsia" w:ascii="Times New Roman" w:hAnsi="Times New Roman" w:eastAsia="仿宋_GB2312" w:cs="Times New Roman"/>
          <w:sz w:val="32"/>
          <w:szCs w:val="32"/>
          <w:lang w:val="en-US" w:eastAsia="zh-CN"/>
        </w:rPr>
        <w:t>10.58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10.58</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2.26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27.16</w:t>
      </w:r>
      <w:r>
        <w:rPr>
          <w:rFonts w:ascii="Times New Roman" w:hAnsi="Times New Roman" w:eastAsia="仿宋_GB2312" w:cs="Times New Roman"/>
          <w:sz w:val="32"/>
          <w:szCs w:val="32"/>
        </w:rPr>
        <w:t>%。其中：</w:t>
      </w:r>
    </w:p>
    <w:p w14:paraId="07AF86AC">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公务用车购置费支出预算为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万元，决算数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eastAsia="zh-CN"/>
        </w:rPr>
        <w:t>我单位严格按预算执行决算；</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与</w:t>
      </w:r>
      <w:r>
        <w:rPr>
          <w:rFonts w:ascii="Times New Roman" w:hAnsi="Times New Roman" w:eastAsia="仿宋_GB2312" w:cs="Times New Roman"/>
          <w:sz w:val="32"/>
          <w:szCs w:val="32"/>
        </w:rPr>
        <w:t>上年</w:t>
      </w:r>
      <w:r>
        <w:rPr>
          <w:rFonts w:hint="eastAsia" w:ascii="Times New Roman" w:hAnsi="Times New Roman" w:eastAsia="仿宋_GB2312" w:cs="Times New Roman"/>
          <w:sz w:val="32"/>
          <w:szCs w:val="32"/>
          <w:lang w:eastAsia="zh-CN"/>
        </w:rPr>
        <w:t>一致，无增减变动，</w:t>
      </w:r>
      <w:r>
        <w:rPr>
          <w:rFonts w:ascii="Times New Roman" w:hAnsi="Times New Roman" w:eastAsia="仿宋_GB2312" w:cs="Times New Roman"/>
          <w:sz w:val="32"/>
          <w:szCs w:val="32"/>
        </w:rPr>
        <w:t>主要原因是</w:t>
      </w:r>
      <w:r>
        <w:rPr>
          <w:rFonts w:hint="eastAsia" w:ascii="Times New Roman" w:hAnsi="Times New Roman" w:eastAsia="仿宋_GB2312" w:cs="Times New Roman"/>
          <w:sz w:val="32"/>
          <w:szCs w:val="32"/>
          <w:lang w:eastAsia="zh-CN"/>
        </w:rPr>
        <w:t>两年均未购置公务用车</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本单位</w:t>
      </w:r>
      <w:r>
        <w:rPr>
          <w:rFonts w:ascii="Times New Roman" w:hAnsi="Times New Roman" w:eastAsia="仿宋_GB2312" w:cs="Times New Roman"/>
          <w:sz w:val="32"/>
          <w:szCs w:val="32"/>
        </w:rPr>
        <w:t>更新公务用车</w:t>
      </w:r>
      <w:r>
        <w:rPr>
          <w:rFonts w:hint="eastAsia" w:ascii="Times New Roman" w:hAnsi="Times New Roman" w:eastAsia="仿宋_GB2312" w:cs="Times New Roman"/>
          <w:sz w:val="32"/>
          <w:szCs w:val="32"/>
          <w:lang w:val="en-US" w:eastAsia="zh-CN"/>
        </w:rPr>
        <w:t>0</w:t>
      </w:r>
      <w:r>
        <w:rPr>
          <w:rFonts w:ascii="Times New Roman" w:hAnsi="Times New Roman" w:eastAsia="仿宋_GB2312" w:cs="Times New Roman"/>
          <w:sz w:val="32"/>
          <w:szCs w:val="32"/>
        </w:rPr>
        <w:t>辆</w:t>
      </w:r>
      <w:r>
        <w:rPr>
          <w:rFonts w:ascii="Times New Roman" w:hAnsi="Times New Roman" w:eastAsia="仿宋_GB2312" w:cs="Times New Roman"/>
          <w:color w:val="000000" w:themeColor="text1"/>
          <w:sz w:val="32"/>
          <w:szCs w:val="32"/>
          <w14:textFill>
            <w14:solidFill>
              <w14:schemeClr w14:val="tx1"/>
            </w14:solidFill>
          </w14:textFill>
        </w:rPr>
        <w:t>。</w:t>
      </w:r>
    </w:p>
    <w:p w14:paraId="219E6ABB">
      <w:pPr>
        <w:pStyle w:val="12"/>
        <w:overflowPunct w:val="0"/>
        <w:autoSpaceDE/>
        <w:autoSpaceDN/>
        <w:spacing w:line="600" w:lineRule="exact"/>
        <w:ind w:firstLine="640" w:firstLineChars="200"/>
        <w:jc w:val="both"/>
        <w:rPr>
          <w:rFonts w:ascii="Times New Roman" w:hAnsi="Times New Roman" w:eastAsia="仿宋_GB2312" w:cs="Times New Roman"/>
          <w:sz w:val="32"/>
          <w:szCs w:val="32"/>
        </w:rPr>
      </w:pPr>
      <w:r>
        <w:rPr>
          <w:rFonts w:ascii="Times New Roman" w:hAnsi="Times New Roman" w:eastAsia="仿宋_GB2312" w:cs="Times New Roman"/>
          <w:sz w:val="32"/>
          <w:szCs w:val="32"/>
        </w:rPr>
        <w:t>公务用车运行维护费支出预算为</w:t>
      </w:r>
      <w:r>
        <w:rPr>
          <w:rFonts w:hint="eastAsia" w:ascii="Times New Roman" w:hAnsi="Times New Roman" w:eastAsia="仿宋_GB2312" w:cs="Times New Roman"/>
          <w:sz w:val="32"/>
          <w:szCs w:val="32"/>
          <w:lang w:val="en-US" w:eastAsia="zh-CN"/>
        </w:rPr>
        <w:t>10.58</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10.58</w:t>
      </w:r>
      <w:r>
        <w:rPr>
          <w:rFonts w:ascii="Times New Roman" w:hAnsi="Times New Roman" w:eastAsia="仿宋_GB2312" w:cs="Times New Roman"/>
          <w:sz w:val="32"/>
          <w:szCs w:val="32"/>
        </w:rPr>
        <w:t>万元</w:t>
      </w:r>
      <w:r>
        <w:rPr>
          <w:rFonts w:hint="eastAsia" w:ascii="Times New Roman" w:hAnsi="Times New Roman" w:eastAsia="仿宋_GB2312" w:cs="Times New Roman"/>
          <w:sz w:val="32"/>
          <w:szCs w:val="32"/>
          <w:lang w:eastAsia="zh-CN"/>
        </w:rPr>
        <w:t>，</w:t>
      </w:r>
      <w:r>
        <w:rPr>
          <w:rFonts w:ascii="Times New Roman" w:hAnsi="Times New Roman" w:eastAsia="仿宋_GB2312" w:cs="Times New Roman"/>
          <w:sz w:val="32"/>
          <w:szCs w:val="32"/>
        </w:rPr>
        <w:t>主要是</w:t>
      </w:r>
      <w:r>
        <w:rPr>
          <w:rFonts w:hint="eastAsia" w:ascii="仿宋_GB2312" w:hAnsi="仿宋_GB2312" w:eastAsia="仿宋_GB2312" w:cs="仿宋_GB2312"/>
          <w:sz w:val="32"/>
          <w:szCs w:val="32"/>
        </w:rPr>
        <w:t>公务用车油料费、车辆维修维护费、</w:t>
      </w:r>
      <w:r>
        <w:rPr>
          <w:rFonts w:hint="eastAsia" w:ascii="仿宋_GB2312" w:hAnsi="仿宋_GB2312" w:eastAsia="仿宋_GB2312" w:cs="仿宋_GB2312"/>
          <w:sz w:val="32"/>
          <w:szCs w:val="32"/>
          <w:lang w:eastAsia="zh-CN"/>
        </w:rPr>
        <w:t>车辆年检费、</w:t>
      </w:r>
      <w:r>
        <w:rPr>
          <w:rFonts w:hint="eastAsia" w:ascii="仿宋_GB2312" w:hAnsi="仿宋_GB2312" w:eastAsia="仿宋_GB2312" w:cs="仿宋_GB2312"/>
          <w:sz w:val="32"/>
          <w:szCs w:val="32"/>
        </w:rPr>
        <w:t>公务车辆保险费、</w:t>
      </w:r>
      <w:r>
        <w:rPr>
          <w:rFonts w:hint="eastAsia" w:ascii="仿宋_GB2312" w:hAnsi="仿宋_GB2312" w:eastAsia="仿宋_GB2312" w:cs="仿宋_GB2312"/>
          <w:sz w:val="32"/>
          <w:szCs w:val="32"/>
          <w:lang w:eastAsia="zh-CN"/>
        </w:rPr>
        <w:t>公务车辆洗车费、</w:t>
      </w:r>
      <w:r>
        <w:rPr>
          <w:rFonts w:hint="eastAsia" w:ascii="仿宋_GB2312" w:hAnsi="仿宋_GB2312" w:eastAsia="仿宋_GB2312" w:cs="仿宋_GB2312"/>
          <w:sz w:val="32"/>
          <w:szCs w:val="32"/>
        </w:rPr>
        <w:t>过路过桥费等</w:t>
      </w:r>
      <w:r>
        <w:rPr>
          <w:rFonts w:ascii="Times New Roman" w:hAnsi="Times New Roman" w:eastAsia="仿宋_GB2312" w:cs="Times New Roman"/>
          <w:sz w:val="32"/>
          <w:szCs w:val="32"/>
        </w:rPr>
        <w:t>支出，完成预算的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%；与上年相比增加</w:t>
      </w:r>
      <w:r>
        <w:rPr>
          <w:rFonts w:hint="eastAsia" w:ascii="Times New Roman" w:hAnsi="Times New Roman" w:eastAsia="仿宋_GB2312" w:cs="Times New Roman"/>
          <w:sz w:val="32"/>
          <w:szCs w:val="32"/>
          <w:lang w:val="en-US" w:eastAsia="zh-CN"/>
        </w:rPr>
        <w:t>2.26</w:t>
      </w:r>
      <w:r>
        <w:rPr>
          <w:rFonts w:ascii="Times New Roman" w:hAnsi="Times New Roman" w:eastAsia="仿宋_GB2312" w:cs="Times New Roman"/>
          <w:sz w:val="32"/>
          <w:szCs w:val="32"/>
        </w:rPr>
        <w:t>万元，增长</w:t>
      </w:r>
      <w:r>
        <w:rPr>
          <w:rFonts w:hint="eastAsia" w:ascii="Times New Roman" w:hAnsi="Times New Roman" w:eastAsia="仿宋_GB2312" w:cs="Times New Roman"/>
          <w:sz w:val="32"/>
          <w:szCs w:val="32"/>
          <w:lang w:val="en-US" w:eastAsia="zh-CN"/>
        </w:rPr>
        <w:t>27.16</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eastAsia="zh-CN"/>
        </w:rPr>
        <w:t>我单位严格按预算执行决算</w:t>
      </w:r>
      <w:r>
        <w:rPr>
          <w:rFonts w:ascii="Times New Roman" w:hAnsi="Times New Roman" w:eastAsia="仿宋_GB2312" w:cs="Times New Roman"/>
          <w:sz w:val="32"/>
          <w:szCs w:val="32"/>
        </w:rPr>
        <w:t>。决算数大于上年数的主要原因是</w:t>
      </w:r>
      <w:r>
        <w:rPr>
          <w:rFonts w:hint="eastAsia" w:ascii="Times New Roman" w:hAnsi="Times New Roman" w:eastAsia="仿宋_GB2312" w:cs="Times New Roman"/>
          <w:sz w:val="32"/>
          <w:szCs w:val="32"/>
          <w:lang w:val="en-US" w:eastAsia="zh-CN"/>
        </w:rPr>
        <w:t>2024年度业务量增加，公务出行频率提高；车辆使用年限长，部分零部件老化，维修成本居高，导致2024年度公车运行维护费较上年有所增加</w:t>
      </w:r>
      <w:r>
        <w:rPr>
          <w:rFonts w:ascii="Times New Roman" w:hAnsi="Times New Roman" w:eastAsia="仿宋_GB2312" w:cs="Times New Roman"/>
          <w:sz w:val="32"/>
          <w:szCs w:val="32"/>
        </w:rPr>
        <w:t>。</w:t>
      </w:r>
      <w:r>
        <w:rPr>
          <w:rFonts w:ascii="Times New Roman" w:hAnsi="Times New Roman" w:eastAsia="仿宋_GB2312" w:cs="Times New Roman"/>
          <w:sz w:val="32"/>
          <w:szCs w:val="32"/>
          <w:highlight w:val="none"/>
        </w:rPr>
        <w:t>截止</w:t>
      </w:r>
      <w:r>
        <w:rPr>
          <w:rFonts w:hint="eastAsia" w:ascii="Times New Roman" w:hAnsi="Times New Roman" w:eastAsia="仿宋_GB2312" w:cs="Times New Roman"/>
          <w:sz w:val="32"/>
          <w:szCs w:val="32"/>
          <w:highlight w:val="none"/>
          <w:lang w:eastAsia="zh-CN"/>
        </w:rPr>
        <w:t>到</w:t>
      </w:r>
      <w:r>
        <w:rPr>
          <w:rFonts w:ascii="Times New Roman" w:hAnsi="Times New Roman" w:eastAsia="仿宋_GB2312" w:cs="Times New Roman"/>
          <w:sz w:val="32"/>
          <w:szCs w:val="32"/>
        </w:rPr>
        <w:t>2024年12月31日，我单位开支财政拨款的公务用车保有量为</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辆。</w:t>
      </w:r>
    </w:p>
    <w:p w14:paraId="6CC57E15">
      <w:pPr>
        <w:pStyle w:val="12"/>
        <w:overflowPunct w:val="0"/>
        <w:autoSpaceDE/>
        <w:autoSpaceDN/>
        <w:spacing w:line="600" w:lineRule="exact"/>
        <w:ind w:firstLine="640" w:firstLineChars="200"/>
        <w:jc w:val="both"/>
        <w:rPr>
          <w:rFonts w:ascii="Times New Roman" w:hAnsi="Times New Roman" w:eastAsia="仿宋_GB2312"/>
          <w:b/>
          <w:color w:val="auto"/>
          <w:sz w:val="32"/>
          <w:szCs w:val="32"/>
        </w:rPr>
      </w:pP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公务接待费支出预算为</w:t>
      </w:r>
      <w:r>
        <w:rPr>
          <w:rFonts w:hint="eastAsia" w:ascii="Times New Roman" w:hAnsi="Times New Roman" w:eastAsia="仿宋_GB2312" w:cs="Times New Roman"/>
          <w:sz w:val="32"/>
          <w:szCs w:val="32"/>
          <w:lang w:val="en-US" w:eastAsia="zh-CN"/>
        </w:rPr>
        <w:t>0.35</w:t>
      </w:r>
      <w:r>
        <w:rPr>
          <w:rFonts w:ascii="Times New Roman" w:hAnsi="Times New Roman" w:eastAsia="仿宋_GB2312" w:cs="Times New Roman"/>
          <w:sz w:val="32"/>
          <w:szCs w:val="32"/>
        </w:rPr>
        <w:t>万元，支出决算为</w:t>
      </w:r>
      <w:r>
        <w:rPr>
          <w:rFonts w:hint="eastAsia" w:ascii="Times New Roman" w:hAnsi="Times New Roman" w:eastAsia="仿宋_GB2312" w:cs="Times New Roman"/>
          <w:sz w:val="32"/>
          <w:szCs w:val="32"/>
          <w:lang w:val="en-US" w:eastAsia="zh-CN"/>
        </w:rPr>
        <w:t>0.35</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100</w:t>
      </w:r>
      <w:r>
        <w:rPr>
          <w:rFonts w:ascii="Times New Roman" w:hAnsi="Times New Roman" w:eastAsia="仿宋_GB2312" w:cs="Times New Roman"/>
          <w:sz w:val="32"/>
          <w:szCs w:val="32"/>
        </w:rPr>
        <w:t>%；与上年相比减少</w:t>
      </w:r>
      <w:r>
        <w:rPr>
          <w:rFonts w:hint="eastAsia" w:ascii="Times New Roman" w:hAnsi="Times New Roman" w:eastAsia="仿宋_GB2312" w:cs="Times New Roman"/>
          <w:sz w:val="32"/>
          <w:szCs w:val="32"/>
          <w:lang w:val="en-US" w:eastAsia="zh-CN"/>
        </w:rPr>
        <w:t>0.4</w:t>
      </w:r>
      <w:r>
        <w:rPr>
          <w:rFonts w:ascii="Times New Roman" w:hAnsi="Times New Roman" w:eastAsia="仿宋_GB2312" w:cs="Times New Roman"/>
          <w:sz w:val="32"/>
          <w:szCs w:val="32"/>
        </w:rPr>
        <w:t>万元，降低</w:t>
      </w:r>
      <w:r>
        <w:rPr>
          <w:rFonts w:hint="eastAsia" w:ascii="Times New Roman" w:hAnsi="Times New Roman" w:eastAsia="仿宋_GB2312" w:cs="Times New Roman"/>
          <w:sz w:val="32"/>
          <w:szCs w:val="32"/>
          <w:lang w:val="en-US" w:eastAsia="zh-CN"/>
        </w:rPr>
        <w:t>53.33</w:t>
      </w:r>
      <w:r>
        <w:rPr>
          <w:rFonts w:ascii="Times New Roman" w:hAnsi="Times New Roman" w:eastAsia="仿宋_GB2312" w:cs="Times New Roman"/>
          <w:sz w:val="32"/>
          <w:szCs w:val="32"/>
        </w:rPr>
        <w:t>%。决算数</w:t>
      </w:r>
      <w:r>
        <w:rPr>
          <w:rFonts w:hint="eastAsia" w:ascii="Times New Roman" w:hAnsi="Times New Roman" w:eastAsia="仿宋_GB2312" w:cs="Times New Roman"/>
          <w:sz w:val="32"/>
          <w:szCs w:val="32"/>
          <w:lang w:eastAsia="zh-CN"/>
        </w:rPr>
        <w:t>等于</w:t>
      </w:r>
      <w:r>
        <w:rPr>
          <w:rFonts w:ascii="Times New Roman" w:hAnsi="Times New Roman" w:eastAsia="仿宋_GB2312" w:cs="Times New Roman"/>
          <w:sz w:val="32"/>
          <w:szCs w:val="32"/>
        </w:rPr>
        <w:t>预算数的主要原因是</w:t>
      </w:r>
      <w:r>
        <w:rPr>
          <w:rFonts w:hint="eastAsia" w:ascii="Times New Roman" w:hAnsi="Times New Roman" w:eastAsia="仿宋_GB2312" w:cs="Times New Roman"/>
          <w:sz w:val="32"/>
          <w:szCs w:val="32"/>
          <w:lang w:eastAsia="zh-CN"/>
        </w:rPr>
        <w:t>我单位严格按预算执行决算</w:t>
      </w:r>
      <w:r>
        <w:rPr>
          <w:rFonts w:ascii="Times New Roman" w:hAnsi="Times New Roman" w:eastAsia="仿宋_GB2312" w:cs="Times New Roman"/>
          <w:sz w:val="32"/>
          <w:szCs w:val="32"/>
        </w:rPr>
        <w:t>。决算数小于上年数的主要原因是</w:t>
      </w:r>
      <w:r>
        <w:rPr>
          <w:rFonts w:hint="eastAsia" w:ascii="Times New Roman" w:hAnsi="Times New Roman" w:eastAsia="仿宋_GB2312" w:cs="Times New Roman"/>
          <w:sz w:val="32"/>
          <w:szCs w:val="32"/>
          <w:lang w:eastAsia="zh-CN"/>
        </w:rPr>
        <w:t>按有关政策厉行节约，严控公务接待支出，</w:t>
      </w:r>
      <w:r>
        <w:rPr>
          <w:rFonts w:hint="eastAsia" w:ascii="Times New Roman" w:hAnsi="Times New Roman" w:eastAsia="仿宋_GB2312" w:cs="Times New Roman"/>
          <w:sz w:val="32"/>
          <w:szCs w:val="32"/>
          <w:lang w:val="en-US" w:eastAsia="zh-CN"/>
        </w:rPr>
        <w:t>2024年公务接待批次、人数较上年减少</w:t>
      </w:r>
      <w:r>
        <w:rPr>
          <w:rFonts w:ascii="Times New Roman" w:hAnsi="Times New Roman" w:eastAsia="仿宋_GB2312" w:cs="Times New Roman"/>
          <w:sz w:val="32"/>
          <w:szCs w:val="32"/>
        </w:rPr>
        <w:t>。2024年度共接待来访团组</w:t>
      </w:r>
      <w:r>
        <w:rPr>
          <w:rFonts w:hint="eastAsia" w:ascii="Times New Roman" w:hAnsi="Times New Roman" w:eastAsia="仿宋_GB2312" w:cs="Times New Roman"/>
          <w:sz w:val="32"/>
          <w:szCs w:val="32"/>
          <w:lang w:val="en-US" w:eastAsia="zh-CN"/>
        </w:rPr>
        <w:t>3</w:t>
      </w:r>
      <w:r>
        <w:rPr>
          <w:rFonts w:ascii="Times New Roman" w:hAnsi="Times New Roman" w:eastAsia="仿宋_GB2312" w:cs="Times New Roman"/>
          <w:sz w:val="32"/>
          <w:szCs w:val="32"/>
        </w:rPr>
        <w:t>个、来宾</w:t>
      </w:r>
      <w:r>
        <w:rPr>
          <w:rFonts w:hint="eastAsia" w:ascii="Times New Roman" w:hAnsi="Times New Roman" w:eastAsia="仿宋_GB2312" w:cs="Times New Roman"/>
          <w:sz w:val="32"/>
          <w:szCs w:val="32"/>
          <w:lang w:val="en-US" w:eastAsia="zh-CN"/>
        </w:rPr>
        <w:t>33</w:t>
      </w:r>
      <w:r>
        <w:rPr>
          <w:rFonts w:ascii="Times New Roman" w:hAnsi="Times New Roman" w:eastAsia="仿宋_GB2312" w:cs="Times New Roman"/>
          <w:sz w:val="32"/>
          <w:szCs w:val="32"/>
        </w:rPr>
        <w:t>人次，主要</w:t>
      </w:r>
      <w:r>
        <w:rPr>
          <w:rFonts w:hint="eastAsia" w:ascii="Times New Roman" w:hAnsi="Times New Roman" w:eastAsia="仿宋_GB2312" w:cs="Times New Roman"/>
          <w:sz w:val="32"/>
          <w:szCs w:val="32"/>
          <w:lang w:eastAsia="zh-CN"/>
        </w:rPr>
        <w:t>是</w:t>
      </w:r>
      <w:r>
        <w:rPr>
          <w:rFonts w:hint="eastAsia" w:ascii="仿宋_GB2312" w:hAnsi="仿宋_GB2312" w:eastAsia="仿宋_GB2312" w:cs="仿宋_GB2312"/>
          <w:sz w:val="32"/>
          <w:szCs w:val="32"/>
        </w:rPr>
        <w:t>接待省级领导和专家对各项业务线工作督查</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以及各县市区业务线对接工作发生的接待支出</w:t>
      </w:r>
      <w:r>
        <w:rPr>
          <w:rFonts w:hint="eastAsia" w:ascii="仿宋_GB2312" w:hAnsi="仿宋_GB2312" w:eastAsia="仿宋_GB2312" w:cs="仿宋_GB2312"/>
          <w:sz w:val="32"/>
          <w:szCs w:val="32"/>
          <w:lang w:eastAsia="zh-CN"/>
        </w:rPr>
        <w:t>。</w:t>
      </w:r>
    </w:p>
    <w:p w14:paraId="3D06ACE2">
      <w:pPr>
        <w:pStyle w:val="12"/>
        <w:numPr>
          <w:numId w:val="0"/>
        </w:numPr>
        <w:overflowPunct w:val="0"/>
        <w:autoSpaceDE/>
        <w:autoSpaceDN/>
        <w:spacing w:line="600" w:lineRule="exact"/>
        <w:ind w:firstLine="640" w:firstLineChars="200"/>
        <w:jc w:val="both"/>
        <w:rPr>
          <w:rFonts w:ascii="Times New Roman" w:hAnsi="Times New Roman" w:eastAsia="仿宋_GB2312"/>
          <w:b/>
          <w:color w:val="auto"/>
          <w:sz w:val="32"/>
          <w:szCs w:val="32"/>
        </w:rPr>
      </w:pPr>
      <w:r>
        <w:rPr>
          <w:rFonts w:hint="eastAsia" w:ascii="Times New Roman" w:hAnsi="Times New Roman" w:eastAsia="仿宋_GB2312"/>
          <w:b/>
          <w:color w:val="auto"/>
          <w:sz w:val="32"/>
          <w:szCs w:val="32"/>
          <w:lang w:eastAsia="zh-CN"/>
        </w:rPr>
        <w:t>十</w:t>
      </w:r>
      <w:r>
        <w:rPr>
          <w:rFonts w:hint="eastAsia" w:ascii="Times New Roman" w:hAnsi="Times New Roman" w:eastAsia="仿宋_GB2312"/>
          <w:b/>
          <w:color w:val="auto"/>
          <w:sz w:val="32"/>
          <w:szCs w:val="32"/>
        </w:rPr>
        <w:t>、关于机关运行经费支出说明</w:t>
      </w:r>
    </w:p>
    <w:p w14:paraId="38BA3ACD">
      <w:pPr>
        <w:pStyle w:val="12"/>
        <w:ind w:firstLine="640" w:firstLineChars="200"/>
        <w:rPr>
          <w:rFonts w:ascii="Times New Roman" w:hAnsi="Times New Roman" w:eastAsia="仿宋_GB2312"/>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年度机关运行经费支出</w:t>
      </w:r>
      <w:r>
        <w:rPr>
          <w:rFonts w:hint="eastAsia" w:ascii="仿宋_GB2312" w:hAnsi="仿宋_GB2312" w:eastAsia="仿宋_GB2312" w:cs="仿宋_GB2312"/>
          <w:sz w:val="32"/>
          <w:szCs w:val="32"/>
          <w:lang w:val="en-US" w:eastAsia="zh-CN"/>
        </w:rPr>
        <w:t>151.98</w:t>
      </w:r>
      <w:r>
        <w:rPr>
          <w:rFonts w:hint="eastAsia" w:ascii="仿宋_GB2312" w:hAnsi="仿宋_GB2312" w:eastAsia="仿宋_GB2312" w:cs="仿宋_GB2312"/>
          <w:sz w:val="32"/>
          <w:szCs w:val="32"/>
        </w:rPr>
        <w:t>万元，</w:t>
      </w:r>
      <w:r>
        <w:rPr>
          <w:rFonts w:hint="eastAsia" w:ascii="仿宋_GB2312" w:hAnsi="仿宋_GB2312" w:eastAsia="仿宋_GB2312" w:cs="仿宋_GB2312"/>
          <w:sz w:val="32"/>
          <w:szCs w:val="32"/>
          <w:highlight w:val="none"/>
        </w:rPr>
        <w:t>比上年决算数增加</w:t>
      </w:r>
      <w:r>
        <w:rPr>
          <w:rFonts w:hint="eastAsia" w:ascii="仿宋_GB2312" w:hAnsi="仿宋_GB2312" w:eastAsia="仿宋_GB2312" w:cs="仿宋_GB2312"/>
          <w:sz w:val="32"/>
          <w:szCs w:val="32"/>
          <w:highlight w:val="none"/>
          <w:lang w:val="en-US" w:eastAsia="zh-CN"/>
        </w:rPr>
        <w:t>28.39</w:t>
      </w:r>
      <w:r>
        <w:rPr>
          <w:rFonts w:hint="eastAsia" w:ascii="仿宋_GB2312" w:hAnsi="仿宋_GB2312" w:eastAsia="仿宋_GB2312" w:cs="仿宋_GB2312"/>
          <w:sz w:val="32"/>
          <w:szCs w:val="32"/>
          <w:highlight w:val="none"/>
        </w:rPr>
        <w:t>万元，增长</w:t>
      </w:r>
      <w:r>
        <w:rPr>
          <w:rFonts w:hint="eastAsia" w:ascii="仿宋_GB2312" w:hAnsi="仿宋_GB2312" w:eastAsia="仿宋_GB2312" w:cs="仿宋_GB2312"/>
          <w:sz w:val="32"/>
          <w:szCs w:val="32"/>
          <w:highlight w:val="none"/>
          <w:lang w:val="en-US" w:eastAsia="zh-CN"/>
        </w:rPr>
        <w:t>22.98</w:t>
      </w:r>
      <w:r>
        <w:rPr>
          <w:rFonts w:hint="eastAsia" w:ascii="仿宋_GB2312" w:hAnsi="仿宋_GB2312" w:eastAsia="仿宋_GB2312" w:cs="仿宋_GB2312"/>
          <w:sz w:val="32"/>
          <w:szCs w:val="32"/>
          <w:highlight w:val="none"/>
        </w:rPr>
        <w:t>%。主要原因是</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2024年向上级争取了卫生监督机构能力建设经费35万元，用于配置执法装备以及快检设备、卫监执法平台移动执法系统平台信息费用和移动执法终端信息费用等方面</w:t>
      </w:r>
      <w:r>
        <w:rPr>
          <w:rFonts w:hint="eastAsia" w:ascii="楷体" w:hAnsi="楷体" w:eastAsia="楷体" w:cs="楷体"/>
          <w:sz w:val="32"/>
          <w:szCs w:val="32"/>
        </w:rPr>
        <w:t>。</w:t>
      </w:r>
    </w:p>
    <w:p w14:paraId="39684EF2">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一</w:t>
      </w:r>
      <w:r>
        <w:rPr>
          <w:rFonts w:hint="eastAsia" w:ascii="黑体" w:hAnsi="黑体" w:eastAsia="黑体" w:cs="黑体"/>
          <w:b w:val="0"/>
          <w:bCs/>
          <w:sz w:val="32"/>
          <w:szCs w:val="32"/>
        </w:rPr>
        <w:t>、一般性支出情况说明</w:t>
      </w:r>
    </w:p>
    <w:p w14:paraId="5E588319">
      <w:pPr>
        <w:pStyle w:val="12"/>
        <w:ind w:firstLine="640" w:firstLineChars="200"/>
        <w:jc w:val="both"/>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年度，会议费年初预算0.2万元，支出决算为0.11万元，完成年初预算的55%。用于召开全市</w:t>
      </w:r>
      <w:r>
        <w:rPr>
          <w:rFonts w:hint="eastAsia" w:ascii="仿宋_GB2312" w:hAnsi="仿宋_GB2312" w:eastAsia="仿宋_GB2312" w:cs="仿宋_GB2312"/>
          <w:i/>
          <w:iCs/>
          <w:sz w:val="32"/>
          <w:szCs w:val="32"/>
          <w:lang w:val="en-US" w:eastAsia="zh-CN"/>
        </w:rPr>
        <w:t>医疗美容监管工作</w:t>
      </w:r>
      <w:r>
        <w:rPr>
          <w:rFonts w:hint="eastAsia" w:ascii="仿宋_GB2312" w:hAnsi="仿宋_GB2312" w:eastAsia="仿宋_GB2312" w:cs="仿宋_GB2312"/>
          <w:sz w:val="32"/>
          <w:szCs w:val="32"/>
          <w:lang w:val="en-US" w:eastAsia="zh-CN"/>
        </w:rPr>
        <w:t>会，</w:t>
      </w:r>
      <w:r>
        <w:rPr>
          <w:rFonts w:hint="eastAsia" w:ascii="仿宋_GB2312" w:hAnsi="仿宋_GB2312" w:eastAsia="仿宋_GB2312" w:cs="仿宋_GB2312"/>
          <w:sz w:val="32"/>
          <w:szCs w:val="32"/>
        </w:rPr>
        <w:t>人数</w:t>
      </w:r>
      <w:r>
        <w:rPr>
          <w:rFonts w:hint="eastAsia" w:ascii="仿宋_GB2312" w:hAnsi="仿宋_GB2312" w:eastAsia="仿宋_GB2312" w:cs="仿宋_GB2312"/>
          <w:sz w:val="32"/>
          <w:szCs w:val="32"/>
          <w:lang w:val="en-US" w:eastAsia="zh-CN"/>
        </w:rPr>
        <w:t>70</w:t>
      </w:r>
      <w:r>
        <w:rPr>
          <w:rFonts w:hint="eastAsia" w:ascii="仿宋_GB2312" w:hAnsi="仿宋_GB2312" w:eastAsia="仿宋_GB2312" w:cs="仿宋_GB2312"/>
          <w:sz w:val="32"/>
          <w:szCs w:val="32"/>
        </w:rPr>
        <w:t>人，内容为</w:t>
      </w:r>
      <w:r>
        <w:rPr>
          <w:rFonts w:hint="eastAsia" w:ascii="仿宋_GB2312" w:hAnsi="仿宋_GB2312" w:eastAsia="仿宋_GB2312" w:cs="仿宋_GB2312"/>
          <w:sz w:val="32"/>
          <w:szCs w:val="32"/>
          <w:lang w:val="en-US" w:eastAsia="zh-CN"/>
        </w:rPr>
        <w:t>2024年度全市医疗美容综合监管工作会</w:t>
      </w:r>
      <w:r>
        <w:rPr>
          <w:rFonts w:hint="eastAsia" w:ascii="仿宋_GB2312" w:hAnsi="仿宋_GB2312" w:eastAsia="仿宋_GB2312" w:cs="仿宋_GB2312"/>
          <w:sz w:val="32"/>
          <w:szCs w:val="32"/>
          <w:lang w:eastAsia="zh-CN"/>
        </w:rPr>
        <w:t>。</w:t>
      </w:r>
    </w:p>
    <w:p w14:paraId="6BF19328">
      <w:pPr>
        <w:widowControl w:val="0"/>
        <w:autoSpaceDE w:val="0"/>
        <w:autoSpaceDN w:val="0"/>
        <w:adjustRightInd w:val="0"/>
        <w:ind w:firstLine="640" w:firstLineChars="200"/>
        <w:rPr>
          <w:rFonts w:hint="eastAsia" w:ascii="仿宋_GB2312" w:hAnsi="仿宋_GB2312" w:eastAsia="仿宋_GB2312" w:cs="仿宋_GB2312"/>
          <w:color w:val="000000"/>
          <w:kern w:val="0"/>
          <w:sz w:val="32"/>
          <w:szCs w:val="32"/>
          <w:lang w:val="en-US" w:eastAsia="zh-CN" w:bidi="ar-SA"/>
        </w:rPr>
      </w:pPr>
      <w:r>
        <w:rPr>
          <w:rFonts w:hint="eastAsia" w:ascii="仿宋_GB2312" w:hAnsi="仿宋_GB2312" w:eastAsia="仿宋_GB2312" w:cs="仿宋_GB2312"/>
          <w:color w:val="000000"/>
          <w:kern w:val="0"/>
          <w:sz w:val="32"/>
          <w:szCs w:val="32"/>
          <w:lang w:val="en-US" w:eastAsia="zh-CN" w:bidi="ar-SA"/>
        </w:rPr>
        <w:t>培训费年初预算0.3万元，支出决算为0.28万元，完成年初预算的93.33%。用于开展业务工作培训，人数32人，内容为2024年度全市卫生监督“双随机”推进工作培训。</w:t>
      </w:r>
    </w:p>
    <w:p w14:paraId="39C2EAB5">
      <w:pPr>
        <w:widowControl w:val="0"/>
        <w:autoSpaceDE w:val="0"/>
        <w:autoSpaceDN w:val="0"/>
        <w:adjustRightInd w:val="0"/>
        <w:ind w:firstLine="640" w:firstLineChars="200"/>
        <w:rPr>
          <w:rFonts w:hint="eastAsia" w:ascii="仿宋_GB2312" w:hAnsi="仿宋_GB2312" w:eastAsia="仿宋_GB2312" w:cs="仿宋_GB2312"/>
          <w:b/>
          <w:bCs/>
          <w:i/>
          <w:color w:val="FF0000"/>
          <w:kern w:val="0"/>
          <w:sz w:val="32"/>
          <w:szCs w:val="32"/>
          <w:highlight w:val="yellow"/>
          <w:lang w:val="en-US" w:eastAsia="zh-CN" w:bidi="ar-SA"/>
        </w:rPr>
      </w:pPr>
      <w:r>
        <w:rPr>
          <w:rFonts w:hint="eastAsia" w:ascii="仿宋_GB2312" w:hAnsi="仿宋_GB2312" w:eastAsia="仿宋_GB2312" w:cs="仿宋_GB2312"/>
          <w:color w:val="000000"/>
          <w:kern w:val="0"/>
          <w:sz w:val="32"/>
          <w:szCs w:val="32"/>
          <w:lang w:val="en-US" w:eastAsia="zh-CN" w:bidi="ar-SA"/>
        </w:rPr>
        <w:t>举办节庆、晚会、论坛、赛事活动年初预算0万元，支出决算为0万元，</w:t>
      </w:r>
      <w:r>
        <w:rPr>
          <w:rFonts w:hint="eastAsia" w:ascii="仿宋_GB2312" w:hAnsi="仿宋_GB2312" w:eastAsia="仿宋_GB2312" w:cs="仿宋_GB2312"/>
          <w:sz w:val="32"/>
          <w:szCs w:val="32"/>
          <w:lang w:eastAsia="zh-CN"/>
        </w:rPr>
        <w:t>由于预算数为</w:t>
      </w:r>
      <w:r>
        <w:rPr>
          <w:rFonts w:hint="eastAsia" w:ascii="仿宋_GB2312" w:hAnsi="仿宋_GB2312" w:eastAsia="仿宋_GB2312" w:cs="仿宋_GB2312"/>
          <w:sz w:val="32"/>
          <w:szCs w:val="32"/>
          <w:lang w:val="en-US" w:eastAsia="zh-CN"/>
        </w:rPr>
        <w:t>0，无法计算百分比</w:t>
      </w:r>
      <w:r>
        <w:rPr>
          <w:rFonts w:hint="eastAsia" w:ascii="仿宋_GB2312" w:hAnsi="仿宋_GB2312" w:eastAsia="仿宋_GB2312" w:cs="仿宋_GB2312"/>
          <w:color w:val="000000"/>
          <w:kern w:val="0"/>
          <w:sz w:val="32"/>
          <w:szCs w:val="32"/>
          <w:lang w:val="en-US" w:eastAsia="zh-CN" w:bidi="ar-SA"/>
        </w:rPr>
        <w:t>，主要是2024年度本单位无举办节庆、晚会、论坛、赛事等活动的预算和支出决算数。</w:t>
      </w:r>
    </w:p>
    <w:p w14:paraId="252D0BEE">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黑体" w:hAnsi="黑体" w:eastAsia="黑体" w:cs="黑体"/>
          <w:b w:val="0"/>
          <w:bCs/>
          <w:sz w:val="32"/>
          <w:szCs w:val="32"/>
        </w:rPr>
      </w:pPr>
      <w:r>
        <w:rPr>
          <w:rFonts w:hint="eastAsia" w:ascii="黑体" w:hAnsi="黑体" w:eastAsia="黑体" w:cs="黑体"/>
          <w:b w:val="0"/>
          <w:bCs/>
          <w:sz w:val="32"/>
          <w:szCs w:val="32"/>
        </w:rPr>
        <w:t>十</w:t>
      </w:r>
      <w:r>
        <w:rPr>
          <w:rFonts w:hint="eastAsia" w:hAnsi="黑体" w:cs="黑体"/>
          <w:b w:val="0"/>
          <w:bCs/>
          <w:sz w:val="32"/>
          <w:szCs w:val="32"/>
          <w:lang w:eastAsia="zh-CN"/>
        </w:rPr>
        <w:t>二</w:t>
      </w:r>
      <w:r>
        <w:rPr>
          <w:rFonts w:hint="eastAsia" w:ascii="黑体" w:hAnsi="黑体" w:eastAsia="黑体" w:cs="黑体"/>
          <w:b w:val="0"/>
          <w:bCs/>
          <w:sz w:val="32"/>
          <w:szCs w:val="32"/>
        </w:rPr>
        <w:t>、关于政府采购支出说明</w:t>
      </w:r>
    </w:p>
    <w:p w14:paraId="4120C9CB">
      <w:pPr>
        <w:pStyle w:val="12"/>
        <w:keepNext w:val="0"/>
        <w:keepLines w:val="0"/>
        <w:pageBreakBefore w:val="0"/>
        <w:widowControl w:val="0"/>
        <w:kinsoku/>
        <w:wordWrap/>
        <w:overflowPunct/>
        <w:topLinePunct w:val="0"/>
        <w:bidi w:val="0"/>
        <w:snapToGrid/>
        <w:spacing w:line="60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sz w:val="32"/>
          <w:szCs w:val="32"/>
        </w:rPr>
        <w:t>本部门202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年度政府采购支出总额</w:t>
      </w:r>
      <w:r>
        <w:rPr>
          <w:rFonts w:hint="eastAsia" w:ascii="仿宋_GB2312" w:hAnsi="仿宋_GB2312" w:eastAsia="仿宋_GB2312" w:cs="仿宋_GB2312"/>
          <w:sz w:val="32"/>
          <w:szCs w:val="32"/>
          <w:lang w:val="en-US" w:eastAsia="zh-CN"/>
        </w:rPr>
        <w:t>45.65</w:t>
      </w:r>
      <w:r>
        <w:rPr>
          <w:rFonts w:hint="eastAsia" w:ascii="仿宋_GB2312" w:hAnsi="仿宋_GB2312" w:eastAsia="仿宋_GB2312" w:cs="仿宋_GB2312"/>
          <w:sz w:val="32"/>
          <w:szCs w:val="32"/>
        </w:rPr>
        <w:t>万元，其中：政府采购货物支出</w:t>
      </w:r>
      <w:r>
        <w:rPr>
          <w:rFonts w:hint="eastAsia" w:ascii="仿宋_GB2312" w:hAnsi="仿宋_GB2312" w:eastAsia="仿宋_GB2312" w:cs="仿宋_GB2312"/>
          <w:sz w:val="32"/>
          <w:szCs w:val="32"/>
          <w:lang w:val="en-US" w:eastAsia="zh-CN"/>
        </w:rPr>
        <w:t>7.92</w:t>
      </w:r>
      <w:r>
        <w:rPr>
          <w:rFonts w:hint="eastAsia" w:ascii="仿宋_GB2312" w:hAnsi="仿宋_GB2312" w:eastAsia="仿宋_GB2312" w:cs="仿宋_GB2312"/>
          <w:sz w:val="32"/>
          <w:szCs w:val="32"/>
        </w:rPr>
        <w:t>万元、政府采购工程支出</w:t>
      </w:r>
      <w:r>
        <w:rPr>
          <w:rFonts w:hint="eastAsia" w:ascii="仿宋_GB2312" w:hAnsi="仿宋_GB2312" w:eastAsia="仿宋_GB2312" w:cs="仿宋_GB2312"/>
          <w:sz w:val="32"/>
          <w:szCs w:val="32"/>
          <w:lang w:val="en-US" w:eastAsia="zh-CN"/>
        </w:rPr>
        <w:t>0.31</w:t>
      </w:r>
      <w:r>
        <w:rPr>
          <w:rFonts w:hint="eastAsia" w:ascii="仿宋_GB2312" w:hAnsi="仿宋_GB2312" w:eastAsia="仿宋_GB2312" w:cs="仿宋_GB2312"/>
          <w:sz w:val="32"/>
          <w:szCs w:val="32"/>
        </w:rPr>
        <w:t>万元、政府采购服务支出</w:t>
      </w:r>
      <w:r>
        <w:rPr>
          <w:rFonts w:hint="eastAsia" w:ascii="仿宋_GB2312" w:hAnsi="仿宋_GB2312" w:eastAsia="仿宋_GB2312" w:cs="仿宋_GB2312"/>
          <w:sz w:val="32"/>
          <w:szCs w:val="32"/>
          <w:lang w:val="en-US" w:eastAsia="zh-CN"/>
        </w:rPr>
        <w:t>37.42</w:t>
      </w:r>
      <w:r>
        <w:rPr>
          <w:rFonts w:hint="eastAsia" w:ascii="仿宋_GB2312" w:hAnsi="仿宋_GB2312" w:eastAsia="仿宋_GB2312" w:cs="仿宋_GB2312"/>
          <w:sz w:val="32"/>
          <w:szCs w:val="32"/>
        </w:rPr>
        <w:t>万元。授予中小企业合同金额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万元，占政府采购支出总额的</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%，其中：授予小微企业合同金额</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万元（由于授予中小企业合同金额为0，故无法计算占授予中小企业合同金额的比重）</w:t>
      </w:r>
      <w:r>
        <w:rPr>
          <w:rFonts w:hint="eastAsia" w:ascii="仿宋_GB2312" w:hAnsi="仿宋_GB2312" w:eastAsia="仿宋_GB2312" w:cs="仿宋_GB2312"/>
          <w:color w:val="auto"/>
          <w:sz w:val="32"/>
          <w:szCs w:val="32"/>
        </w:rPr>
        <w:t>。货物采购授予中小</w:t>
      </w:r>
      <w:r>
        <w:rPr>
          <w:rFonts w:hint="eastAsia" w:ascii="Times New Roman" w:hAnsi="Times New Roman" w:eastAsia="仿宋_GB2312"/>
          <w:color w:val="auto"/>
          <w:sz w:val="32"/>
          <w:szCs w:val="32"/>
        </w:rPr>
        <w:t>企业合同金</w:t>
      </w:r>
      <w:r>
        <w:rPr>
          <w:rFonts w:hint="eastAsia" w:ascii="仿宋_GB2312" w:hAnsi="仿宋_GB2312" w:eastAsia="仿宋_GB2312" w:cs="仿宋_GB2312"/>
          <w:color w:val="auto"/>
          <w:sz w:val="32"/>
          <w:szCs w:val="32"/>
        </w:rPr>
        <w:t>额占货物支出金额的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%，工程采购授予中小企业合同金额占工程支出金额的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%，服务采购授予中小企业合同金额占服务支出金额的</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w:t>
      </w:r>
    </w:p>
    <w:p w14:paraId="246A0DF6">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rPr>
      </w:pPr>
      <w:r>
        <w:rPr>
          <w:rFonts w:hint="eastAsia" w:ascii="黑体" w:hAnsi="黑体" w:eastAsia="黑体" w:cs="黑体"/>
          <w:b w:val="0"/>
          <w:bCs/>
          <w:color w:val="auto"/>
          <w:sz w:val="32"/>
          <w:szCs w:val="32"/>
        </w:rPr>
        <w:t>十</w:t>
      </w:r>
      <w:r>
        <w:rPr>
          <w:rFonts w:hint="eastAsia" w:hAnsi="黑体" w:cs="黑体"/>
          <w:b w:val="0"/>
          <w:bCs/>
          <w:color w:val="auto"/>
          <w:sz w:val="32"/>
          <w:szCs w:val="32"/>
          <w:lang w:eastAsia="zh-CN"/>
        </w:rPr>
        <w:t>三</w:t>
      </w:r>
      <w:r>
        <w:rPr>
          <w:rFonts w:hint="eastAsia" w:ascii="黑体" w:hAnsi="黑体" w:eastAsia="黑体" w:cs="黑体"/>
          <w:b w:val="0"/>
          <w:bCs/>
          <w:color w:val="auto"/>
          <w:sz w:val="32"/>
          <w:szCs w:val="32"/>
        </w:rPr>
        <w:t>、关于国有资产占用情况说明</w:t>
      </w:r>
    </w:p>
    <w:p w14:paraId="37C9D953">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仿宋_GB2312" w:hAnsi="仿宋_GB2312" w:eastAsia="仿宋_GB2312" w:cs="仿宋_GB2312"/>
          <w:color w:val="auto"/>
          <w:sz w:val="32"/>
          <w:szCs w:val="32"/>
        </w:rPr>
      </w:pPr>
      <w:r>
        <w:rPr>
          <w:rFonts w:hint="eastAsia" w:ascii="仿宋_GB2312" w:hAnsi="仿宋_GB2312" w:eastAsia="仿宋_GB2312" w:cs="仿宋_GB2312"/>
          <w:color w:val="auto"/>
          <w:sz w:val="32"/>
          <w:szCs w:val="32"/>
        </w:rPr>
        <w:t>截至202</w:t>
      </w:r>
      <w:r>
        <w:rPr>
          <w:rFonts w:hint="eastAsia" w:ascii="仿宋_GB2312" w:hAnsi="仿宋_GB2312" w:eastAsia="仿宋_GB2312" w:cs="仿宋_GB2312"/>
          <w:color w:val="auto"/>
          <w:sz w:val="32"/>
          <w:szCs w:val="32"/>
          <w:lang w:val="en-US" w:eastAsia="zh-CN"/>
        </w:rPr>
        <w:t>4</w:t>
      </w:r>
      <w:r>
        <w:rPr>
          <w:rFonts w:hint="eastAsia" w:ascii="仿宋_GB2312" w:hAnsi="仿宋_GB2312" w:eastAsia="仿宋_GB2312" w:cs="仿宋_GB2312"/>
          <w:color w:val="auto"/>
          <w:sz w:val="32"/>
          <w:szCs w:val="32"/>
        </w:rPr>
        <w:t>年12月31日，</w:t>
      </w:r>
      <w:r>
        <w:rPr>
          <w:rFonts w:hint="eastAsia" w:ascii="仿宋_GB2312" w:hAnsi="仿宋_GB2312" w:eastAsia="仿宋_GB2312" w:cs="仿宋_GB2312"/>
          <w:color w:val="auto"/>
          <w:sz w:val="32"/>
          <w:szCs w:val="32"/>
          <w:lang w:eastAsia="zh-CN"/>
        </w:rPr>
        <w:t>单位</w:t>
      </w:r>
      <w:r>
        <w:rPr>
          <w:rFonts w:hint="eastAsia" w:ascii="仿宋_GB2312" w:hAnsi="仿宋_GB2312" w:eastAsia="仿宋_GB2312" w:cs="仿宋_GB2312"/>
          <w:color w:val="auto"/>
          <w:sz w:val="32"/>
          <w:szCs w:val="32"/>
        </w:rPr>
        <w:t>共有车辆</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辆，其中</w:t>
      </w:r>
      <w:r>
        <w:rPr>
          <w:rFonts w:hint="eastAsia" w:ascii="仿宋_GB2312" w:hAnsi="仿宋_GB2312" w:eastAsia="仿宋_GB2312" w:cs="仿宋_GB2312"/>
          <w:color w:val="auto"/>
          <w:sz w:val="32"/>
          <w:szCs w:val="32"/>
          <w:lang w:eastAsia="zh-CN"/>
        </w:rPr>
        <w:t>，副部（省）级及以上领导用车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主要</w:t>
      </w:r>
      <w:r>
        <w:rPr>
          <w:rFonts w:hint="eastAsia" w:ascii="仿宋_GB2312" w:hAnsi="仿宋_GB2312" w:eastAsia="仿宋_GB2312" w:cs="仿宋_GB2312"/>
          <w:color w:val="auto"/>
          <w:sz w:val="32"/>
          <w:szCs w:val="32"/>
          <w:lang w:eastAsia="zh-CN"/>
        </w:rPr>
        <w:t>负责人</w:t>
      </w:r>
      <w:r>
        <w:rPr>
          <w:rFonts w:hint="eastAsia" w:ascii="仿宋_GB2312" w:hAnsi="仿宋_GB2312" w:eastAsia="仿宋_GB2312" w:cs="仿宋_GB2312"/>
          <w:color w:val="auto"/>
          <w:sz w:val="32"/>
          <w:szCs w:val="32"/>
        </w:rPr>
        <w:t>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w:t>
      </w:r>
      <w:r>
        <w:rPr>
          <w:rFonts w:hint="eastAsia" w:ascii="仿宋_GB2312" w:hAnsi="仿宋_GB2312" w:eastAsia="仿宋_GB2312" w:cs="仿宋_GB2312"/>
          <w:color w:val="auto"/>
          <w:sz w:val="32"/>
          <w:szCs w:val="32"/>
        </w:rPr>
        <w:t>机要通信用车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辆、应急保障用车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辆、执法执勤用车</w:t>
      </w:r>
      <w:r>
        <w:rPr>
          <w:rFonts w:hint="eastAsia" w:ascii="仿宋_GB2312" w:hAnsi="仿宋_GB2312" w:eastAsia="仿宋_GB2312" w:cs="仿宋_GB2312"/>
          <w:color w:val="auto"/>
          <w:sz w:val="32"/>
          <w:szCs w:val="32"/>
          <w:lang w:val="en-US" w:eastAsia="zh-CN"/>
        </w:rPr>
        <w:t>3</w:t>
      </w:r>
      <w:r>
        <w:rPr>
          <w:rFonts w:hint="eastAsia" w:ascii="仿宋_GB2312" w:hAnsi="仿宋_GB2312" w:eastAsia="仿宋_GB2312" w:cs="仿宋_GB2312"/>
          <w:color w:val="auto"/>
          <w:sz w:val="32"/>
          <w:szCs w:val="32"/>
        </w:rPr>
        <w:t>辆、特种专业技术用车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w:t>
      </w:r>
      <w:r>
        <w:rPr>
          <w:rFonts w:hint="eastAsia" w:ascii="仿宋_GB2312" w:hAnsi="仿宋_GB2312" w:eastAsia="仿宋_GB2312" w:cs="仿宋_GB2312"/>
          <w:color w:val="auto"/>
          <w:sz w:val="32"/>
          <w:szCs w:val="32"/>
          <w:lang w:eastAsia="zh-CN"/>
        </w:rPr>
        <w:t>离退休干部服务用车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辆、其他用车</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辆；单位价值100万元以上设备</w:t>
      </w:r>
      <w:r>
        <w:rPr>
          <w:rFonts w:hint="eastAsia" w:ascii="仿宋_GB2312" w:hAnsi="仿宋_GB2312" w:eastAsia="仿宋_GB2312" w:cs="仿宋_GB2312"/>
          <w:color w:val="auto"/>
          <w:sz w:val="32"/>
          <w:szCs w:val="32"/>
          <w:lang w:eastAsia="zh-CN"/>
        </w:rPr>
        <w:t>（不含车辆）</w:t>
      </w:r>
      <w:r>
        <w:rPr>
          <w:rFonts w:hint="eastAsia" w:ascii="仿宋_GB2312" w:hAnsi="仿宋_GB2312" w:eastAsia="仿宋_GB2312" w:cs="仿宋_GB2312"/>
          <w:color w:val="auto"/>
          <w:sz w:val="32"/>
          <w:szCs w:val="32"/>
          <w:lang w:val="en-US" w:eastAsia="zh-CN"/>
        </w:rPr>
        <w:t>0</w:t>
      </w:r>
      <w:r>
        <w:rPr>
          <w:rFonts w:hint="eastAsia" w:ascii="仿宋_GB2312" w:hAnsi="仿宋_GB2312" w:eastAsia="仿宋_GB2312" w:cs="仿宋_GB2312"/>
          <w:color w:val="auto"/>
          <w:sz w:val="32"/>
          <w:szCs w:val="32"/>
        </w:rPr>
        <w:t>台（套）。</w:t>
      </w:r>
    </w:p>
    <w:p w14:paraId="0A8224AC">
      <w:pPr>
        <w:pStyle w:val="12"/>
        <w:keepNext w:val="0"/>
        <w:keepLines w:val="0"/>
        <w:pageBreakBefore w:val="0"/>
        <w:widowControl w:val="0"/>
        <w:kinsoku/>
        <w:wordWrap/>
        <w:overflowPunct/>
        <w:topLinePunct w:val="0"/>
        <w:autoSpaceDE w:val="0"/>
        <w:autoSpaceDN w:val="0"/>
        <w:bidi w:val="0"/>
        <w:adjustRightInd w:val="0"/>
        <w:snapToGrid/>
        <w:spacing w:line="580" w:lineRule="exact"/>
        <w:ind w:firstLine="640" w:firstLineChars="200"/>
        <w:textAlignment w:val="auto"/>
        <w:rPr>
          <w:rFonts w:hint="eastAsia" w:ascii="黑体" w:hAnsi="黑体" w:eastAsia="黑体" w:cs="黑体"/>
          <w:b w:val="0"/>
          <w:bCs/>
          <w:color w:val="auto"/>
          <w:sz w:val="32"/>
          <w:szCs w:val="32"/>
          <w:highlight w:val="none"/>
        </w:rPr>
      </w:pPr>
      <w:r>
        <w:rPr>
          <w:rFonts w:hint="eastAsia" w:ascii="黑体" w:hAnsi="黑体" w:eastAsia="黑体" w:cs="黑体"/>
          <w:b w:val="0"/>
          <w:bCs/>
          <w:color w:val="auto"/>
          <w:sz w:val="32"/>
          <w:szCs w:val="32"/>
          <w:highlight w:val="none"/>
        </w:rPr>
        <w:t>十</w:t>
      </w:r>
      <w:r>
        <w:rPr>
          <w:rFonts w:hint="eastAsia" w:hAnsi="黑体" w:cs="黑体"/>
          <w:b w:val="0"/>
          <w:bCs/>
          <w:color w:val="auto"/>
          <w:sz w:val="32"/>
          <w:szCs w:val="32"/>
          <w:highlight w:val="none"/>
          <w:lang w:eastAsia="zh-CN"/>
        </w:rPr>
        <w:t>四</w:t>
      </w:r>
      <w:r>
        <w:rPr>
          <w:rFonts w:hint="eastAsia" w:ascii="黑体" w:hAnsi="黑体" w:eastAsia="黑体" w:cs="黑体"/>
          <w:b w:val="0"/>
          <w:bCs/>
          <w:color w:val="auto"/>
          <w:sz w:val="32"/>
          <w:szCs w:val="32"/>
          <w:highlight w:val="none"/>
        </w:rPr>
        <w:t>、关于</w:t>
      </w:r>
      <w:r>
        <w:rPr>
          <w:rFonts w:hint="eastAsia" w:ascii="Times New Roman" w:hAnsi="Times New Roman" w:eastAsia="仿宋_GB2312"/>
          <w:color w:val="auto"/>
          <w:sz w:val="32"/>
          <w:szCs w:val="32"/>
          <w:highlight w:val="none"/>
        </w:rPr>
        <w:t>202</w:t>
      </w:r>
      <w:r>
        <w:rPr>
          <w:rFonts w:hint="eastAsia" w:ascii="Times New Roman" w:hAnsi="Times New Roman" w:eastAsia="仿宋_GB2312"/>
          <w:color w:val="auto"/>
          <w:sz w:val="32"/>
          <w:szCs w:val="32"/>
          <w:highlight w:val="none"/>
          <w:lang w:val="en-US" w:eastAsia="zh-CN"/>
        </w:rPr>
        <w:t>4</w:t>
      </w:r>
      <w:r>
        <w:rPr>
          <w:rFonts w:hint="eastAsia" w:ascii="黑体" w:hAnsi="黑体" w:eastAsia="黑体" w:cs="黑体"/>
          <w:b w:val="0"/>
          <w:bCs/>
          <w:color w:val="auto"/>
          <w:sz w:val="32"/>
          <w:szCs w:val="32"/>
          <w:highlight w:val="none"/>
        </w:rPr>
        <w:t>年度</w:t>
      </w:r>
      <w:r>
        <w:rPr>
          <w:rFonts w:hint="eastAsia" w:hAnsi="黑体" w:cs="黑体"/>
          <w:b w:val="0"/>
          <w:bCs/>
          <w:color w:val="auto"/>
          <w:sz w:val="32"/>
          <w:szCs w:val="32"/>
          <w:highlight w:val="none"/>
          <w:lang w:eastAsia="zh-CN"/>
        </w:rPr>
        <w:t>预算</w:t>
      </w:r>
      <w:r>
        <w:rPr>
          <w:rFonts w:hint="eastAsia" w:ascii="黑体" w:hAnsi="黑体" w:eastAsia="黑体" w:cs="黑体"/>
          <w:b w:val="0"/>
          <w:bCs/>
          <w:color w:val="auto"/>
          <w:sz w:val="32"/>
          <w:szCs w:val="32"/>
          <w:highlight w:val="none"/>
        </w:rPr>
        <w:t>绩效</w:t>
      </w:r>
      <w:r>
        <w:rPr>
          <w:rFonts w:hint="eastAsia" w:hAnsi="黑体" w:cs="黑体"/>
          <w:b w:val="0"/>
          <w:bCs/>
          <w:color w:val="auto"/>
          <w:sz w:val="32"/>
          <w:szCs w:val="32"/>
          <w:highlight w:val="none"/>
          <w:lang w:eastAsia="zh-CN"/>
        </w:rPr>
        <w:t>管理</w:t>
      </w:r>
      <w:r>
        <w:rPr>
          <w:rFonts w:hint="eastAsia" w:ascii="黑体" w:hAnsi="黑体" w:eastAsia="黑体" w:cs="黑体"/>
          <w:b w:val="0"/>
          <w:bCs/>
          <w:color w:val="auto"/>
          <w:sz w:val="32"/>
          <w:szCs w:val="32"/>
          <w:highlight w:val="none"/>
        </w:rPr>
        <w:t>情况的说明</w:t>
      </w:r>
    </w:p>
    <w:p w14:paraId="0EB60D67">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（一）绩效评价工作开展情况</w:t>
      </w:r>
    </w:p>
    <w:p w14:paraId="2559DDC6">
      <w:pPr>
        <w:overflowPunct w:val="0"/>
        <w:spacing w:line="600" w:lineRule="exact"/>
        <w:ind w:firstLine="640" w:firstLineChars="200"/>
        <w:rPr>
          <w:rFonts w:ascii="Times New Roman" w:hAnsi="Times New Roman" w:eastAsia="仿宋_GB2312" w:cs="Times New Roman"/>
          <w:kern w:val="0"/>
          <w:sz w:val="32"/>
          <w:szCs w:val="32"/>
          <w:highlight w:val="none"/>
        </w:rPr>
      </w:pPr>
      <w:r>
        <w:rPr>
          <w:rFonts w:hint="eastAsia" w:ascii="Times New Roman" w:hAnsi="Times New Roman" w:eastAsia="仿宋_GB2312" w:cs="Times New Roman"/>
          <w:kern w:val="0"/>
          <w:sz w:val="32"/>
          <w:szCs w:val="32"/>
          <w:highlight w:val="none"/>
          <w:lang w:val="en-US" w:eastAsia="zh-CN"/>
        </w:rPr>
        <w:t>1.</w:t>
      </w:r>
      <w:r>
        <w:rPr>
          <w:rFonts w:hint="eastAsia" w:ascii="Times New Roman" w:hAnsi="Times New Roman" w:eastAsia="仿宋_GB2312" w:cs="Times New Roman"/>
          <w:b/>
          <w:bCs/>
          <w:kern w:val="0"/>
          <w:sz w:val="32"/>
          <w:szCs w:val="32"/>
          <w:lang w:val="en-US" w:eastAsia="zh-CN"/>
        </w:rPr>
        <w:t>绩</w:t>
      </w:r>
      <w:r>
        <w:rPr>
          <w:rFonts w:ascii="Times New Roman" w:hAnsi="Times New Roman" w:eastAsia="仿宋_GB2312" w:cs="Times New Roman"/>
          <w:b/>
          <w:bCs/>
          <w:kern w:val="0"/>
          <w:sz w:val="32"/>
          <w:szCs w:val="32"/>
        </w:rPr>
        <w:t>效自评开展情况。</w:t>
      </w:r>
      <w:r>
        <w:rPr>
          <w:rFonts w:ascii="Times New Roman" w:hAnsi="Times New Roman" w:eastAsia="仿宋_GB2312" w:cs="Times New Roman"/>
          <w:kern w:val="0"/>
          <w:sz w:val="32"/>
          <w:szCs w:val="32"/>
        </w:rPr>
        <w:t>组织对2024年度本单位整体支出开展绩效自评，涉及项目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个，共涉及资金</w:t>
      </w:r>
      <w:r>
        <w:rPr>
          <w:rFonts w:hint="eastAsia" w:ascii="Times New Roman" w:hAnsi="Times New Roman" w:eastAsia="仿宋_GB2312" w:cs="Times New Roman"/>
          <w:kern w:val="0"/>
          <w:sz w:val="32"/>
          <w:szCs w:val="32"/>
          <w:lang w:val="en-US" w:eastAsia="zh-CN"/>
        </w:rPr>
        <w:t>843.53</w:t>
      </w:r>
      <w:r>
        <w:rPr>
          <w:rFonts w:ascii="Times New Roman" w:hAnsi="Times New Roman" w:eastAsia="仿宋_GB2312" w:cs="Times New Roman"/>
          <w:kern w:val="0"/>
          <w:sz w:val="32"/>
          <w:szCs w:val="32"/>
        </w:rPr>
        <w:t>万元。其中，一般公共预算项目</w:t>
      </w: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843.53</w:t>
      </w:r>
      <w:r>
        <w:rPr>
          <w:rFonts w:ascii="Times New Roman" w:hAnsi="Times New Roman" w:eastAsia="仿宋_GB2312" w:cs="Times New Roman"/>
          <w:kern w:val="0"/>
          <w:sz w:val="32"/>
          <w:szCs w:val="32"/>
        </w:rPr>
        <w:t>万元，占一般公共预算支出总额的</w:t>
      </w:r>
      <w:r>
        <w:rPr>
          <w:rFonts w:hint="eastAsia" w:ascii="Times New Roman" w:hAnsi="Times New Roman" w:eastAsia="仿宋_GB2312" w:cs="Times New Roman"/>
          <w:kern w:val="0"/>
          <w:sz w:val="32"/>
          <w:szCs w:val="32"/>
          <w:lang w:val="en-US" w:eastAsia="zh-CN"/>
        </w:rPr>
        <w:t>100</w:t>
      </w:r>
      <w:r>
        <w:rPr>
          <w:rFonts w:ascii="Times New Roman" w:hAnsi="Times New Roman" w:eastAsia="仿宋_GB2312" w:cs="Times New Roman"/>
          <w:kern w:val="0"/>
          <w:sz w:val="32"/>
          <w:szCs w:val="32"/>
        </w:rPr>
        <w:t>%；政府性基金预算项目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w:t>
      </w:r>
      <w:r>
        <w:rPr>
          <w:rFonts w:ascii="Times New Roman" w:hAnsi="Times New Roman" w:eastAsia="仿宋_GB2312" w:cs="Times New Roman"/>
          <w:kern w:val="0"/>
          <w:sz w:val="32"/>
          <w:szCs w:val="32"/>
        </w:rPr>
        <w:t>政府性基金预算支出总额</w:t>
      </w:r>
      <w:r>
        <w:rPr>
          <w:rFonts w:hint="eastAsia" w:ascii="Times New Roman" w:hAnsi="Times New Roman" w:eastAsia="仿宋_GB2312" w:cs="Times New Roman"/>
          <w:kern w:val="0"/>
          <w:sz w:val="32"/>
          <w:szCs w:val="32"/>
        </w:rPr>
        <w:t>为0，故无法计算</w:t>
      </w:r>
      <w:r>
        <w:rPr>
          <w:rFonts w:ascii="Times New Roman" w:hAnsi="Times New Roman" w:eastAsia="仿宋_GB2312" w:cs="Times New Roman"/>
          <w:kern w:val="0"/>
          <w:sz w:val="32"/>
          <w:szCs w:val="32"/>
        </w:rPr>
        <w:t>占政府性基金预算支出总额的</w:t>
      </w:r>
      <w:r>
        <w:rPr>
          <w:rFonts w:hint="eastAsia" w:ascii="Times New Roman" w:hAnsi="Times New Roman" w:eastAsia="仿宋_GB2312" w:cs="Times New Roman"/>
          <w:kern w:val="0"/>
          <w:sz w:val="32"/>
          <w:szCs w:val="32"/>
        </w:rPr>
        <w:t>比重）</w:t>
      </w:r>
      <w:r>
        <w:rPr>
          <w:rFonts w:ascii="Times New Roman" w:hAnsi="Times New Roman" w:eastAsia="仿宋_GB2312" w:cs="Times New Roman"/>
          <w:kern w:val="0"/>
          <w:sz w:val="32"/>
          <w:szCs w:val="32"/>
        </w:rPr>
        <w:t>；国有资本经营预算项目</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个</w:t>
      </w:r>
      <w:r>
        <w:rPr>
          <w:rFonts w:hint="eastAsia" w:ascii="Times New Roman" w:hAnsi="Times New Roman" w:eastAsia="仿宋_GB2312" w:cs="Times New Roman"/>
          <w:kern w:val="0"/>
          <w:sz w:val="32"/>
          <w:szCs w:val="32"/>
          <w:lang w:val="en-US" w:eastAsia="zh-CN"/>
        </w:rPr>
        <w:t>0</w:t>
      </w:r>
      <w:r>
        <w:rPr>
          <w:rFonts w:ascii="Times New Roman" w:hAnsi="Times New Roman" w:eastAsia="仿宋_GB2312" w:cs="Times New Roman"/>
          <w:kern w:val="0"/>
          <w:sz w:val="32"/>
          <w:szCs w:val="32"/>
        </w:rPr>
        <w:t>万元</w:t>
      </w:r>
      <w:r>
        <w:rPr>
          <w:rFonts w:hint="eastAsia" w:ascii="Times New Roman" w:hAnsi="Times New Roman" w:eastAsia="仿宋_GB2312" w:cs="Times New Roman"/>
          <w:kern w:val="0"/>
          <w:sz w:val="32"/>
          <w:szCs w:val="32"/>
        </w:rPr>
        <w:t>（由于</w:t>
      </w:r>
      <w:r>
        <w:rPr>
          <w:rFonts w:ascii="Times New Roman" w:hAnsi="Times New Roman" w:eastAsia="仿宋_GB2312" w:cs="Times New Roman"/>
          <w:kern w:val="0"/>
          <w:sz w:val="32"/>
          <w:szCs w:val="32"/>
        </w:rPr>
        <w:t>国有资本经营预算</w:t>
      </w:r>
      <w:r>
        <w:rPr>
          <w:rFonts w:hint="eastAsia" w:ascii="Times New Roman" w:hAnsi="Times New Roman" w:eastAsia="仿宋_GB2312" w:cs="Times New Roman"/>
          <w:kern w:val="0"/>
          <w:sz w:val="32"/>
          <w:szCs w:val="32"/>
        </w:rPr>
        <w:t>支出总额为0，故无法计算占</w:t>
      </w:r>
      <w:r>
        <w:rPr>
          <w:rFonts w:ascii="Times New Roman" w:hAnsi="Times New Roman" w:eastAsia="仿宋_GB2312" w:cs="Times New Roman"/>
          <w:kern w:val="0"/>
          <w:sz w:val="32"/>
          <w:szCs w:val="32"/>
        </w:rPr>
        <w:t>国有资本经营预算</w:t>
      </w:r>
      <w:r>
        <w:rPr>
          <w:rFonts w:hint="eastAsia" w:ascii="Times New Roman" w:hAnsi="Times New Roman" w:eastAsia="仿宋_GB2312" w:cs="Times New Roman"/>
          <w:kern w:val="0"/>
          <w:sz w:val="32"/>
          <w:szCs w:val="32"/>
          <w:lang w:eastAsia="zh-CN"/>
        </w:rPr>
        <w:t>支出总额</w:t>
      </w:r>
      <w:r>
        <w:rPr>
          <w:rFonts w:hint="eastAsia" w:ascii="Times New Roman" w:hAnsi="Times New Roman" w:eastAsia="仿宋_GB2312" w:cs="Times New Roman"/>
          <w:kern w:val="0"/>
          <w:sz w:val="32"/>
          <w:szCs w:val="32"/>
        </w:rPr>
        <w:t>的比重</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rPr>
        <w:t>；</w:t>
      </w:r>
      <w:r>
        <w:rPr>
          <w:rFonts w:ascii="Times New Roman" w:hAnsi="Times New Roman" w:eastAsia="仿宋_GB2312" w:cs="Times New Roman"/>
          <w:kern w:val="0"/>
          <w:sz w:val="32"/>
          <w:szCs w:val="32"/>
          <w:highlight w:val="none"/>
        </w:rPr>
        <w:t>社会保险基金预算项目</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个</w:t>
      </w:r>
      <w:r>
        <w:rPr>
          <w:rFonts w:hint="eastAsia" w:ascii="Times New Roman" w:hAnsi="Times New Roman" w:eastAsia="仿宋_GB2312" w:cs="Times New Roman"/>
          <w:kern w:val="0"/>
          <w:sz w:val="32"/>
          <w:szCs w:val="32"/>
          <w:highlight w:val="none"/>
          <w:lang w:val="en-US" w:eastAsia="zh-CN"/>
        </w:rPr>
        <w:t>0</w:t>
      </w:r>
      <w:r>
        <w:rPr>
          <w:rFonts w:ascii="Times New Roman" w:hAnsi="Times New Roman" w:eastAsia="仿宋_GB2312" w:cs="Times New Roman"/>
          <w:kern w:val="0"/>
          <w:sz w:val="32"/>
          <w:szCs w:val="32"/>
          <w:highlight w:val="none"/>
        </w:rPr>
        <w:t>万元，</w:t>
      </w:r>
      <w:r>
        <w:rPr>
          <w:rFonts w:hint="eastAsia" w:ascii="Times New Roman" w:hAnsi="Times New Roman" w:eastAsia="仿宋_GB2312" w:cs="Times New Roman"/>
          <w:kern w:val="0"/>
          <w:sz w:val="32"/>
          <w:szCs w:val="32"/>
        </w:rPr>
        <w:t>（由于</w:t>
      </w:r>
      <w:r>
        <w:rPr>
          <w:rFonts w:ascii="Times New Roman" w:hAnsi="Times New Roman" w:eastAsia="仿宋_GB2312" w:cs="Times New Roman"/>
          <w:kern w:val="0"/>
          <w:sz w:val="32"/>
          <w:szCs w:val="32"/>
          <w:highlight w:val="none"/>
        </w:rPr>
        <w:t>社会保险基金预算支出</w:t>
      </w:r>
      <w:r>
        <w:rPr>
          <w:rFonts w:hint="eastAsia" w:ascii="Times New Roman" w:hAnsi="Times New Roman" w:eastAsia="仿宋_GB2312" w:cs="Times New Roman"/>
          <w:kern w:val="0"/>
          <w:sz w:val="32"/>
          <w:szCs w:val="32"/>
        </w:rPr>
        <w:t>总额为0，故无法计算占</w:t>
      </w:r>
      <w:r>
        <w:rPr>
          <w:rFonts w:ascii="Times New Roman" w:hAnsi="Times New Roman" w:eastAsia="仿宋_GB2312" w:cs="Times New Roman"/>
          <w:kern w:val="0"/>
          <w:sz w:val="32"/>
          <w:szCs w:val="32"/>
          <w:highlight w:val="none"/>
        </w:rPr>
        <w:t>社会保险基金预算支出</w:t>
      </w:r>
      <w:r>
        <w:rPr>
          <w:rFonts w:hint="eastAsia" w:ascii="Times New Roman" w:hAnsi="Times New Roman" w:eastAsia="仿宋_GB2312" w:cs="Times New Roman"/>
          <w:kern w:val="0"/>
          <w:sz w:val="32"/>
          <w:szCs w:val="32"/>
          <w:lang w:eastAsia="zh-CN"/>
        </w:rPr>
        <w:t>总额</w:t>
      </w:r>
      <w:r>
        <w:rPr>
          <w:rFonts w:hint="eastAsia" w:ascii="Times New Roman" w:hAnsi="Times New Roman" w:eastAsia="仿宋_GB2312" w:cs="Times New Roman"/>
          <w:kern w:val="0"/>
          <w:sz w:val="32"/>
          <w:szCs w:val="32"/>
        </w:rPr>
        <w:t>的比重</w:t>
      </w:r>
      <w:r>
        <w:rPr>
          <w:rFonts w:hint="eastAsia" w:ascii="Times New Roman" w:hAnsi="Times New Roman" w:eastAsia="仿宋_GB2312" w:cs="Times New Roman"/>
          <w:kern w:val="0"/>
          <w:sz w:val="32"/>
          <w:szCs w:val="32"/>
          <w:lang w:eastAsia="zh-CN"/>
        </w:rPr>
        <w:t>）</w:t>
      </w:r>
      <w:r>
        <w:rPr>
          <w:rFonts w:ascii="Times New Roman" w:hAnsi="Times New Roman" w:eastAsia="仿宋_GB2312" w:cs="Times New Roman"/>
          <w:kern w:val="0"/>
          <w:sz w:val="32"/>
          <w:szCs w:val="32"/>
          <w:highlight w:val="none"/>
        </w:rPr>
        <w:t>。</w:t>
      </w:r>
    </w:p>
    <w:p w14:paraId="432F4155">
      <w:pPr>
        <w:overflowPunct w:val="0"/>
        <w:spacing w:line="600" w:lineRule="exact"/>
        <w:ind w:firstLine="640" w:firstLineChars="200"/>
        <w:rPr>
          <w:rFonts w:hint="eastAsia"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highlight w:val="none"/>
          <w:lang w:val="en-US" w:eastAsia="zh-CN"/>
        </w:rPr>
        <w:t>2.</w:t>
      </w:r>
      <w:r>
        <w:rPr>
          <w:rFonts w:ascii="Times New Roman" w:hAnsi="Times New Roman" w:eastAsia="仿宋_GB2312" w:cs="Times New Roman"/>
          <w:b/>
          <w:bCs/>
          <w:kern w:val="0"/>
          <w:sz w:val="32"/>
          <w:szCs w:val="32"/>
        </w:rPr>
        <w:t>部门评价开展情况。</w:t>
      </w:r>
      <w:r>
        <w:rPr>
          <w:rFonts w:hint="eastAsia" w:ascii="Times New Roman" w:hAnsi="Times New Roman" w:eastAsia="仿宋_GB2312" w:cs="Times New Roman"/>
          <w:kern w:val="0"/>
          <w:sz w:val="32"/>
          <w:szCs w:val="32"/>
        </w:rPr>
        <w:t>本单位为二级预算单位，部门评价开展情况可详见上级部门决算公开说明。</w:t>
      </w:r>
    </w:p>
    <w:p w14:paraId="57155E0A">
      <w:pPr>
        <w:overflowPunct w:val="0"/>
        <w:spacing w:line="600" w:lineRule="exact"/>
        <w:ind w:firstLine="640" w:firstLineChars="200"/>
        <w:rPr>
          <w:rFonts w:ascii="Times New Roman" w:hAnsi="Times New Roman" w:eastAsia="仿宋_GB2312" w:cs="Times New Roman"/>
          <w:kern w:val="0"/>
          <w:sz w:val="32"/>
          <w:szCs w:val="32"/>
        </w:rPr>
      </w:pPr>
      <w:r>
        <w:rPr>
          <w:rFonts w:hint="eastAsia" w:ascii="Times New Roman" w:hAnsi="Times New Roman" w:eastAsia="仿宋_GB2312" w:cs="Times New Roman"/>
          <w:kern w:val="0"/>
          <w:sz w:val="32"/>
          <w:szCs w:val="32"/>
          <w:lang w:val="en-US" w:eastAsia="zh-CN"/>
        </w:rPr>
        <w:t>3.</w:t>
      </w:r>
      <w:r>
        <w:rPr>
          <w:rFonts w:ascii="Times New Roman" w:hAnsi="Times New Roman" w:eastAsia="仿宋_GB2312" w:cs="Times New Roman"/>
          <w:b/>
          <w:bCs/>
          <w:kern w:val="0"/>
          <w:sz w:val="32"/>
          <w:szCs w:val="32"/>
        </w:rPr>
        <w:t>事前绩效评估开展情况。</w:t>
      </w:r>
      <w:r>
        <w:rPr>
          <w:rFonts w:hint="eastAsia" w:ascii="Times New Roman" w:hAnsi="Times New Roman" w:eastAsia="仿宋_GB2312" w:cs="Times New Roman"/>
          <w:kern w:val="0"/>
          <w:sz w:val="32"/>
          <w:szCs w:val="32"/>
        </w:rPr>
        <w:t>本单位为二级预算单位，事前绩效评估开展情况可详见上级部门决算公开说明</w:t>
      </w:r>
      <w:r>
        <w:rPr>
          <w:rFonts w:ascii="Times New Roman" w:hAnsi="Times New Roman" w:eastAsia="仿宋_GB2312" w:cs="Times New Roman"/>
          <w:kern w:val="0"/>
          <w:sz w:val="32"/>
          <w:szCs w:val="32"/>
        </w:rPr>
        <w:t>。</w:t>
      </w:r>
    </w:p>
    <w:p w14:paraId="6FC8205B">
      <w:pPr>
        <w:overflowPunct w:val="0"/>
        <w:spacing w:line="600" w:lineRule="exact"/>
        <w:ind w:firstLine="640" w:firstLineChars="200"/>
        <w:rPr>
          <w:rFonts w:ascii="Times New Roman" w:hAnsi="Times New Roman" w:eastAsia="楷体_GB2312" w:cs="Times New Roman"/>
          <w:b/>
          <w:bCs/>
          <w:sz w:val="32"/>
          <w:szCs w:val="32"/>
        </w:rPr>
      </w:pPr>
      <w:r>
        <w:rPr>
          <w:rFonts w:ascii="Times New Roman" w:hAnsi="Times New Roman" w:eastAsia="楷体_GB2312" w:cs="Times New Roman"/>
          <w:b/>
          <w:bCs/>
          <w:sz w:val="32"/>
          <w:szCs w:val="32"/>
        </w:rPr>
        <w:t>（二）绩效评价结果</w:t>
      </w:r>
    </w:p>
    <w:p w14:paraId="322AEE92">
      <w:pPr>
        <w:pStyle w:val="13"/>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jc w:val="left"/>
        <w:textAlignment w:val="auto"/>
        <w:rPr>
          <w:rFonts w:hint="eastAsia" w:ascii="Times New Roman" w:hAnsi="Times New Roman" w:eastAsia="仿宋_GB2312"/>
          <w:color w:val="FF0000"/>
          <w:sz w:val="32"/>
          <w:szCs w:val="32"/>
        </w:rPr>
      </w:pPr>
      <w:r>
        <w:rPr>
          <w:rFonts w:hint="eastAsia" w:ascii="Times New Roman" w:hAnsi="Times New Roman" w:eastAsia="仿宋_GB2312" w:cs="Times New Roman"/>
          <w:kern w:val="0"/>
          <w:sz w:val="32"/>
          <w:szCs w:val="32"/>
          <w:lang w:val="en-US" w:eastAsia="zh-CN"/>
        </w:rPr>
        <w:t>1.</w:t>
      </w:r>
      <w:r>
        <w:rPr>
          <w:rFonts w:ascii="Times New Roman" w:hAnsi="Times New Roman" w:eastAsia="仿宋_GB2312" w:cs="Times New Roman"/>
          <w:b/>
          <w:bCs/>
          <w:kern w:val="0"/>
          <w:sz w:val="32"/>
          <w:szCs w:val="32"/>
        </w:rPr>
        <w:t>绩效自评结果。</w:t>
      </w:r>
      <w:r>
        <w:rPr>
          <w:rFonts w:ascii="Times New Roman" w:hAnsi="Times New Roman" w:eastAsia="仿宋_GB2312" w:cs="Times New Roman"/>
          <w:kern w:val="0"/>
          <w:sz w:val="32"/>
          <w:szCs w:val="32"/>
        </w:rPr>
        <w:t>2024年度本单位整体支出</w:t>
      </w:r>
      <w:r>
        <w:rPr>
          <w:rFonts w:ascii="Times New Roman" w:hAnsi="Times New Roman" w:eastAsia="仿宋_GB2312" w:cs="Times New Roman"/>
          <w:sz w:val="32"/>
          <w:szCs w:val="32"/>
        </w:rPr>
        <w:t>全年预算数</w:t>
      </w:r>
      <w:r>
        <w:rPr>
          <w:rFonts w:hint="eastAsia" w:ascii="Times New Roman" w:hAnsi="Times New Roman" w:eastAsia="仿宋_GB2312" w:cs="Times New Roman"/>
          <w:sz w:val="32"/>
          <w:szCs w:val="32"/>
          <w:lang w:val="en-US" w:eastAsia="zh-CN"/>
        </w:rPr>
        <w:t>745.63</w:t>
      </w:r>
      <w:r>
        <w:rPr>
          <w:rFonts w:ascii="Times New Roman" w:hAnsi="Times New Roman" w:eastAsia="仿宋_GB2312" w:cs="Times New Roman"/>
          <w:sz w:val="32"/>
          <w:szCs w:val="32"/>
        </w:rPr>
        <w:t>万元，执行数</w:t>
      </w:r>
      <w:r>
        <w:rPr>
          <w:rFonts w:hint="eastAsia" w:ascii="Times New Roman" w:hAnsi="Times New Roman" w:eastAsia="仿宋_GB2312" w:cs="Times New Roman"/>
          <w:sz w:val="32"/>
          <w:szCs w:val="32"/>
          <w:lang w:val="en-US" w:eastAsia="zh-CN"/>
        </w:rPr>
        <w:t>843.53</w:t>
      </w:r>
      <w:r>
        <w:rPr>
          <w:rFonts w:ascii="Times New Roman" w:hAnsi="Times New Roman" w:eastAsia="仿宋_GB2312" w:cs="Times New Roman"/>
          <w:sz w:val="32"/>
          <w:szCs w:val="32"/>
        </w:rPr>
        <w:t>万元，完成预算的</w:t>
      </w:r>
      <w:r>
        <w:rPr>
          <w:rFonts w:hint="eastAsia" w:ascii="Times New Roman" w:hAnsi="Times New Roman" w:eastAsia="仿宋_GB2312" w:cs="Times New Roman"/>
          <w:sz w:val="32"/>
          <w:szCs w:val="32"/>
          <w:lang w:val="en-US" w:eastAsia="zh-CN"/>
        </w:rPr>
        <w:t>113.13</w:t>
      </w:r>
      <w:r>
        <w:rPr>
          <w:rFonts w:ascii="Times New Roman" w:hAnsi="Times New Roman" w:eastAsia="仿宋_GB2312" w:cs="Times New Roman"/>
          <w:sz w:val="32"/>
          <w:szCs w:val="32"/>
        </w:rPr>
        <w:t>%</w:t>
      </w:r>
      <w:r>
        <w:rPr>
          <w:rFonts w:ascii="Times New Roman" w:hAnsi="Times New Roman" w:eastAsia="仿宋_GB2312" w:cs="Times New Roman"/>
          <w:kern w:val="0"/>
          <w:sz w:val="32"/>
          <w:szCs w:val="32"/>
        </w:rPr>
        <w:t>，绩效自评得分</w:t>
      </w:r>
      <w:r>
        <w:rPr>
          <w:rFonts w:hint="eastAsia" w:ascii="Times New Roman" w:hAnsi="Times New Roman" w:eastAsia="仿宋_GB2312" w:cs="Times New Roman"/>
          <w:sz w:val="32"/>
          <w:szCs w:val="32"/>
          <w:lang w:val="en-US" w:eastAsia="zh-CN"/>
        </w:rPr>
        <w:t>92</w:t>
      </w:r>
      <w:r>
        <w:rPr>
          <w:rFonts w:ascii="Times New Roman" w:hAnsi="Times New Roman" w:eastAsia="仿宋_GB2312" w:cs="Times New Roman"/>
          <w:sz w:val="32"/>
          <w:szCs w:val="32"/>
        </w:rPr>
        <w:t>分</w:t>
      </w:r>
      <w:r>
        <w:rPr>
          <w:rFonts w:ascii="Times New Roman" w:hAnsi="Times New Roman" w:eastAsia="仿宋_GB2312" w:cs="Times New Roman"/>
          <w:kern w:val="0"/>
          <w:sz w:val="32"/>
          <w:szCs w:val="32"/>
        </w:rPr>
        <w:t>，评价等级为</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lang w:eastAsia="zh-CN"/>
        </w:rPr>
        <w:t>优</w:t>
      </w:r>
      <w:r>
        <w:rPr>
          <w:rFonts w:ascii="Times New Roman" w:hAnsi="Times New Roman" w:eastAsia="仿宋_GB2312" w:cs="Times New Roman"/>
          <w:sz w:val="32"/>
          <w:szCs w:val="32"/>
        </w:rPr>
        <w:t>”。</w:t>
      </w:r>
      <w:r>
        <w:rPr>
          <w:rFonts w:hint="eastAsia" w:ascii="仿宋_GB2312" w:hAnsi="仿宋_GB2312" w:eastAsia="仿宋_GB2312" w:cs="仿宋_GB2312"/>
          <w:b w:val="0"/>
          <w:bCs w:val="0"/>
          <w:color w:val="000000"/>
          <w:kern w:val="0"/>
          <w:sz w:val="32"/>
          <w:szCs w:val="32"/>
          <w:lang w:val="en-US" w:eastAsia="zh-CN" w:bidi="ar-SA"/>
        </w:rPr>
        <w:t>绩效目标完成情况：一是</w:t>
      </w:r>
      <w:r>
        <w:rPr>
          <w:rFonts w:hint="eastAsia" w:ascii="仿宋_GB2312" w:hAnsi="仿宋_GB2312" w:eastAsia="仿宋_GB2312" w:cs="仿宋_GB2312"/>
          <w:sz w:val="32"/>
          <w:szCs w:val="32"/>
          <w:lang w:eastAsia="zh-CN"/>
        </w:rPr>
        <w:t>单位年度内整体</w:t>
      </w:r>
      <w:r>
        <w:rPr>
          <w:rFonts w:hint="eastAsia" w:ascii="仿宋_GB2312" w:hAnsi="仿宋_GB2312" w:eastAsia="仿宋_GB2312" w:cs="仿宋_GB2312"/>
          <w:sz w:val="32"/>
          <w:szCs w:val="32"/>
          <w:lang w:val="en-US" w:eastAsia="zh-CN"/>
        </w:rPr>
        <w:t>运行良好</w:t>
      </w:r>
      <w:r>
        <w:rPr>
          <w:rFonts w:hint="eastAsia" w:ascii="仿宋_GB2312" w:hAnsi="仿宋_GB2312" w:eastAsia="仿宋_GB2312" w:cs="仿宋_GB2312"/>
          <w:b w:val="0"/>
          <w:bCs w:val="0"/>
          <w:sz w:val="32"/>
          <w:szCs w:val="32"/>
          <w:lang w:val="en-US" w:eastAsia="zh-CN"/>
        </w:rPr>
        <w:t>；二</w:t>
      </w:r>
      <w:r>
        <w:rPr>
          <w:rFonts w:hint="eastAsia" w:ascii="仿宋_GB2312" w:hAnsi="仿宋_GB2312" w:eastAsia="仿宋_GB2312" w:cs="仿宋_GB2312"/>
          <w:b w:val="0"/>
          <w:bCs w:val="0"/>
          <w:color w:val="000000"/>
          <w:kern w:val="0"/>
          <w:sz w:val="32"/>
          <w:szCs w:val="32"/>
          <w:lang w:val="en-US" w:eastAsia="zh-CN" w:bidi="ar-SA"/>
        </w:rPr>
        <w:t>是</w:t>
      </w:r>
      <w:r>
        <w:rPr>
          <w:rFonts w:hint="eastAsia" w:ascii="仿宋_GB2312" w:hAnsi="仿宋_GB2312" w:eastAsia="仿宋_GB2312" w:cs="仿宋_GB2312"/>
          <w:sz w:val="32"/>
          <w:szCs w:val="32"/>
        </w:rPr>
        <w:t>高质量高标准地完成了年初确定的各项工作任务</w:t>
      </w:r>
      <w:r>
        <w:rPr>
          <w:rFonts w:hint="eastAsia" w:ascii="仿宋_GB2312" w:hAnsi="仿宋_GB2312" w:eastAsia="仿宋_GB2312" w:cs="仿宋_GB2312"/>
          <w:b w:val="0"/>
          <w:bCs w:val="0"/>
          <w:color w:val="000000"/>
          <w:kern w:val="0"/>
          <w:sz w:val="32"/>
          <w:szCs w:val="32"/>
          <w:lang w:val="en-US" w:eastAsia="zh-CN" w:bidi="ar-SA"/>
        </w:rPr>
        <w:t>。发现的主要问题及原因：一是</w:t>
      </w:r>
      <w:r>
        <w:rPr>
          <w:rFonts w:hint="eastAsia" w:ascii="仿宋_GB2312" w:hAnsi="仿宋_GB2312" w:eastAsia="仿宋_GB2312" w:cs="仿宋_GB2312"/>
          <w:sz w:val="32"/>
          <w:szCs w:val="32"/>
          <w:lang w:eastAsia="zh-CN"/>
        </w:rPr>
        <w:t>资金使用效益有待进一步提高</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val="en-US" w:eastAsia="zh-CN"/>
        </w:rPr>
        <w:t>指标下达以后，由于一般性支出压减的要求，没有精准的安排资金的使用效率</w:t>
      </w:r>
      <w:r>
        <w:rPr>
          <w:rFonts w:hint="eastAsia" w:ascii="仿宋_GB2312" w:hAnsi="仿宋_GB2312" w:eastAsia="仿宋_GB2312" w:cs="仿宋_GB2312"/>
          <w:b w:val="0"/>
          <w:bCs w:val="0"/>
          <w:color w:val="000000"/>
          <w:kern w:val="0"/>
          <w:sz w:val="32"/>
          <w:szCs w:val="32"/>
          <w:lang w:val="en-US" w:eastAsia="zh-CN" w:bidi="ar-SA"/>
        </w:rPr>
        <w:t>。下一步改进措施：一是</w:t>
      </w:r>
      <w:r>
        <w:rPr>
          <w:rFonts w:hint="eastAsia" w:ascii="仿宋_GB2312" w:hAnsi="仿宋_GB2312" w:eastAsia="仿宋_GB2312" w:cs="仿宋_GB2312"/>
          <w:sz w:val="32"/>
          <w:szCs w:val="32"/>
          <w:lang w:eastAsia="zh-CN"/>
        </w:rPr>
        <w:t>在今后的工作中将提高业务水平，</w:t>
      </w:r>
      <w:r>
        <w:rPr>
          <w:rFonts w:hint="eastAsia" w:ascii="仿宋_GB2312" w:hAnsi="仿宋_GB2312" w:eastAsia="仿宋_GB2312" w:cs="仿宋_GB2312"/>
          <w:sz w:val="32"/>
          <w:szCs w:val="32"/>
          <w:lang w:val="en-US" w:eastAsia="zh-CN"/>
        </w:rPr>
        <w:t>多与业务科室沟通，</w:t>
      </w:r>
      <w:r>
        <w:rPr>
          <w:rFonts w:hint="eastAsia" w:ascii="仿宋_GB2312" w:hAnsi="仿宋_GB2312" w:eastAsia="仿宋_GB2312" w:cs="仿宋_GB2312"/>
          <w:color w:val="000000"/>
          <w:sz w:val="32"/>
          <w:szCs w:val="32"/>
        </w:rPr>
        <w:t>认真制定项目工作目标，科学编制和细化预算</w:t>
      </w:r>
      <w:r>
        <w:rPr>
          <w:rFonts w:hint="eastAsia" w:ascii="仿宋_GB2312" w:hAnsi="仿宋_GB2312" w:eastAsia="仿宋_GB2312" w:cs="仿宋_GB2312"/>
          <w:b w:val="0"/>
          <w:bCs w:val="0"/>
          <w:color w:val="000000"/>
          <w:kern w:val="0"/>
          <w:sz w:val="32"/>
          <w:szCs w:val="32"/>
          <w:lang w:val="en-US" w:eastAsia="zh-CN" w:bidi="ar-SA"/>
        </w:rPr>
        <w:t>；二是</w:t>
      </w:r>
      <w:r>
        <w:rPr>
          <w:rFonts w:hint="eastAsia" w:ascii="仿宋_GB2312" w:hAnsi="仿宋_GB2312" w:eastAsia="仿宋_GB2312" w:cs="仿宋_GB2312"/>
          <w:sz w:val="32"/>
          <w:szCs w:val="32"/>
          <w:lang w:eastAsia="zh-CN"/>
        </w:rPr>
        <w:t>定期做好预算支出分析，避免出现在年底集中支付的情况。</w:t>
      </w:r>
    </w:p>
    <w:p w14:paraId="0E9CE7C1">
      <w:pPr>
        <w:overflowPunct w:val="0"/>
        <w:spacing w:line="600" w:lineRule="exact"/>
        <w:ind w:firstLine="640" w:firstLineChars="200"/>
        <w:rPr>
          <w:rFonts w:hint="eastAsia" w:ascii="Times New Roman" w:hAnsi="Times New Roman" w:eastAsia="仿宋_GB2312" w:cs="Times New Roman"/>
          <w:sz w:val="32"/>
          <w:szCs w:val="32"/>
          <w:lang w:eastAsia="zh-CN"/>
        </w:rPr>
      </w:pPr>
      <w:r>
        <w:rPr>
          <w:rFonts w:hint="eastAsia" w:ascii="Times New Roman" w:hAnsi="Times New Roman" w:eastAsia="仿宋_GB2312" w:cs="Times New Roman"/>
          <w:kern w:val="0"/>
          <w:sz w:val="32"/>
          <w:szCs w:val="32"/>
          <w:lang w:val="en-US" w:eastAsia="zh-CN"/>
        </w:rPr>
        <w:t>2.</w:t>
      </w:r>
      <w:r>
        <w:rPr>
          <w:rFonts w:ascii="Times New Roman" w:hAnsi="Times New Roman" w:eastAsia="仿宋_GB2312" w:cs="Times New Roman"/>
          <w:b/>
          <w:bCs/>
          <w:kern w:val="0"/>
          <w:sz w:val="32"/>
          <w:szCs w:val="32"/>
        </w:rPr>
        <w:t>部门评价结果。</w:t>
      </w:r>
      <w:r>
        <w:rPr>
          <w:rFonts w:hint="eastAsia" w:ascii="Times New Roman" w:hAnsi="Times New Roman" w:eastAsia="仿宋_GB2312" w:cs="Times New Roman"/>
          <w:sz w:val="32"/>
          <w:szCs w:val="32"/>
        </w:rPr>
        <w:t>本单位为二级预算单位，部门评价结果可详见上级部门决算公开说明</w:t>
      </w:r>
      <w:r>
        <w:rPr>
          <w:rFonts w:hint="eastAsia" w:ascii="Times New Roman" w:hAnsi="Times New Roman" w:eastAsia="仿宋_GB2312" w:cs="Times New Roman"/>
          <w:sz w:val="32"/>
          <w:szCs w:val="32"/>
          <w:lang w:eastAsia="zh-CN"/>
        </w:rPr>
        <w:t>。</w:t>
      </w:r>
    </w:p>
    <w:p w14:paraId="594CEC69">
      <w:pPr>
        <w:overflowPunct w:val="0"/>
        <w:spacing w:line="600" w:lineRule="exact"/>
        <w:ind w:firstLine="640" w:firstLineChars="200"/>
        <w:rPr>
          <w:rFonts w:hint="eastAsia" w:ascii="Times New Roman" w:hAnsi="Times New Roman" w:eastAsia="仿宋_GB2312" w:cs="Times New Roman"/>
          <w:kern w:val="0"/>
          <w:sz w:val="32"/>
          <w:szCs w:val="32"/>
          <w:lang w:eastAsia="zh-CN"/>
        </w:rPr>
      </w:pPr>
      <w:r>
        <w:rPr>
          <w:rFonts w:hint="eastAsia" w:ascii="Times New Roman" w:hAnsi="Times New Roman" w:eastAsia="仿宋_GB2312" w:cs="Times New Roman"/>
          <w:kern w:val="0"/>
          <w:sz w:val="32"/>
          <w:szCs w:val="32"/>
          <w:lang w:val="en-US" w:eastAsia="zh-CN"/>
        </w:rPr>
        <w:t>3.</w:t>
      </w:r>
      <w:r>
        <w:rPr>
          <w:rFonts w:hint="eastAsia" w:ascii="Times New Roman" w:hAnsi="Times New Roman" w:eastAsia="仿宋_GB2312" w:cs="Times New Roman"/>
          <w:b/>
          <w:bCs/>
          <w:kern w:val="0"/>
          <w:sz w:val="32"/>
          <w:szCs w:val="32"/>
          <w:highlight w:val="none"/>
          <w:lang w:val="en-US" w:eastAsia="zh-CN"/>
        </w:rPr>
        <w:t>事</w:t>
      </w:r>
      <w:r>
        <w:rPr>
          <w:rFonts w:ascii="Times New Roman" w:hAnsi="Times New Roman" w:eastAsia="仿宋_GB2312" w:cs="Times New Roman"/>
          <w:b/>
          <w:bCs/>
          <w:kern w:val="0"/>
          <w:sz w:val="32"/>
          <w:szCs w:val="32"/>
          <w:highlight w:val="none"/>
        </w:rPr>
        <w:t>前绩效评估结果。</w:t>
      </w:r>
      <w:r>
        <w:rPr>
          <w:rFonts w:hint="eastAsia" w:ascii="Times New Roman" w:hAnsi="Times New Roman" w:eastAsia="仿宋_GB2312" w:cs="Times New Roman"/>
          <w:kern w:val="0"/>
          <w:sz w:val="32"/>
          <w:szCs w:val="32"/>
          <w:highlight w:val="none"/>
        </w:rPr>
        <w:t>本单位为二级预算单位，事前绩效评估结果可详见上级部门决算公开说明</w:t>
      </w:r>
      <w:r>
        <w:rPr>
          <w:rFonts w:hint="eastAsia" w:ascii="Times New Roman" w:hAnsi="Times New Roman" w:eastAsia="仿宋_GB2312" w:cs="Times New Roman"/>
          <w:kern w:val="0"/>
          <w:sz w:val="32"/>
          <w:szCs w:val="32"/>
          <w:highlight w:val="none"/>
          <w:lang w:eastAsia="zh-CN"/>
        </w:rPr>
        <w:t>。</w:t>
      </w:r>
    </w:p>
    <w:p w14:paraId="2C89E516">
      <w:pPr>
        <w:numPr>
          <w:ilvl w:val="0"/>
          <w:numId w:val="2"/>
        </w:numPr>
        <w:autoSpaceDE w:val="0"/>
        <w:autoSpaceDN w:val="0"/>
        <w:adjustRightInd w:val="0"/>
        <w:ind w:firstLine="640" w:firstLineChars="200"/>
        <w:jc w:val="left"/>
        <w:rPr>
          <w:rFonts w:ascii="Times New Roman" w:hAnsi="Times New Roman" w:eastAsia="楷体_GB2312" w:cs="Times New Roman"/>
          <w:b/>
          <w:bCs/>
          <w:color w:val="auto"/>
          <w:kern w:val="2"/>
          <w:sz w:val="32"/>
          <w:szCs w:val="32"/>
          <w:highlight w:val="none"/>
        </w:rPr>
      </w:pPr>
      <w:r>
        <w:rPr>
          <w:rFonts w:ascii="Times New Roman" w:hAnsi="Times New Roman" w:eastAsia="楷体_GB2312" w:cs="Times New Roman"/>
          <w:b/>
          <w:bCs/>
          <w:color w:val="auto"/>
          <w:kern w:val="2"/>
          <w:sz w:val="32"/>
          <w:szCs w:val="32"/>
          <w:highlight w:val="none"/>
        </w:rPr>
        <w:t>评价结果应用情况</w:t>
      </w:r>
    </w:p>
    <w:p w14:paraId="2E1CBAA7">
      <w:pPr>
        <w:numPr>
          <w:ilvl w:val="0"/>
          <w:numId w:val="0"/>
        </w:numPr>
        <w:autoSpaceDE w:val="0"/>
        <w:autoSpaceDN w:val="0"/>
        <w:adjustRightInd w:val="0"/>
        <w:ind w:firstLine="640" w:firstLineChars="200"/>
        <w:jc w:val="left"/>
        <w:rPr>
          <w:rFonts w:hint="eastAsia" w:ascii="Times New Roman" w:hAnsi="Times New Roman" w:eastAsia="仿宋_GB2312" w:cs="Times New Roman"/>
          <w:color w:val="auto"/>
          <w:sz w:val="32"/>
          <w:szCs w:val="32"/>
          <w:highlight w:val="none"/>
          <w:lang w:eastAsia="zh-CN"/>
        </w:rPr>
      </w:pPr>
      <w:r>
        <w:rPr>
          <w:rFonts w:ascii="Times New Roman" w:hAnsi="Times New Roman" w:eastAsia="仿宋_GB2312" w:cs="Times New Roman"/>
          <w:color w:val="auto"/>
          <w:sz w:val="32"/>
          <w:szCs w:val="32"/>
          <w:highlight w:val="none"/>
        </w:rPr>
        <w:t>根据2024年度绩效自评结果</w:t>
      </w:r>
      <w:r>
        <w:rPr>
          <w:rFonts w:hint="eastAsia" w:ascii="Times New Roman" w:hAnsi="Times New Roman" w:eastAsia="仿宋_GB2312" w:cs="Times New Roman"/>
          <w:color w:val="auto"/>
          <w:sz w:val="32"/>
          <w:szCs w:val="32"/>
          <w:highlight w:val="none"/>
          <w:lang w:eastAsia="zh-CN"/>
        </w:rPr>
        <w:t>，对照绩效评价中发现的问题，进一步完善预算管理机制，增强支出责任，规范资金使用，强化财政资金管理水平，提高财政资金使用效益。</w:t>
      </w:r>
    </w:p>
    <w:p w14:paraId="5E8AD5A5">
      <w:pPr>
        <w:autoSpaceDE w:val="0"/>
        <w:autoSpaceDN w:val="0"/>
        <w:adjustRightInd w:val="0"/>
        <w:ind w:firstLine="640" w:firstLineChars="200"/>
        <w:jc w:val="left"/>
        <w:rPr>
          <w:rFonts w:hint="eastAsia" w:ascii="仿宋_GB2312" w:hAnsi="仿宋_GB2312" w:eastAsia="仿宋_GB2312" w:cs="仿宋_GB2312"/>
          <w:b w:val="0"/>
          <w:bCs w:val="0"/>
          <w:sz w:val="32"/>
          <w:szCs w:val="32"/>
          <w:lang w:val="en-US" w:eastAsia="zh-CN"/>
        </w:rPr>
      </w:pPr>
      <w:r>
        <w:rPr>
          <w:rFonts w:hint="eastAsia" w:ascii="仿宋_GB2312" w:hAnsi="仿宋_GB2312" w:eastAsia="仿宋_GB2312" w:cs="仿宋_GB2312"/>
          <w:b w:val="0"/>
          <w:bCs w:val="0"/>
          <w:sz w:val="32"/>
          <w:szCs w:val="32"/>
          <w:lang w:val="en-US" w:eastAsia="zh-CN"/>
        </w:rPr>
        <w:t>预算绩效管理开展情况、绩效目标和绩效评价报告等，已在市政府部门财政预决算公开平台上向社会公开，详见附件。</w:t>
      </w:r>
    </w:p>
    <w:p w14:paraId="62BEA247">
      <w:pPr>
        <w:pStyle w:val="2"/>
        <w:rPr>
          <w:rFonts w:hint="eastAsia"/>
          <w:lang w:val="en-US" w:eastAsia="zh-CN"/>
        </w:rPr>
      </w:pPr>
    </w:p>
    <w:p w14:paraId="147E06D0">
      <w:pPr>
        <w:pStyle w:val="12"/>
        <w:jc w:val="both"/>
        <w:rPr>
          <w:rFonts w:hint="eastAsia" w:ascii="方正小标宋_GBK" w:hAnsi="方正小标宋_GBK" w:eastAsia="方正小标宋_GBK" w:cs="方正小标宋_GBK"/>
          <w:sz w:val="24"/>
          <w:szCs w:val="24"/>
        </w:rPr>
      </w:pPr>
    </w:p>
    <w:p w14:paraId="3D83FDA1">
      <w:pPr>
        <w:pStyle w:val="12"/>
        <w:jc w:val="center"/>
        <w:rPr>
          <w:rFonts w:hint="eastAsia" w:ascii="方正小标宋_GBK" w:hAnsi="方正小标宋_GBK" w:eastAsia="方正小标宋_GBK" w:cs="方正小标宋_GBK"/>
          <w:sz w:val="72"/>
          <w:szCs w:val="72"/>
        </w:rPr>
      </w:pPr>
    </w:p>
    <w:p w14:paraId="6FB6F211">
      <w:pPr>
        <w:pStyle w:val="12"/>
        <w:jc w:val="center"/>
        <w:rPr>
          <w:rFonts w:hint="eastAsia" w:ascii="方正小标宋_GBK" w:hAnsi="方正小标宋_GBK" w:eastAsia="方正小标宋_GBK" w:cs="方正小标宋_GBK"/>
          <w:sz w:val="72"/>
          <w:szCs w:val="72"/>
        </w:rPr>
      </w:pPr>
    </w:p>
    <w:p w14:paraId="3A01B6B0">
      <w:pPr>
        <w:pStyle w:val="12"/>
        <w:jc w:val="center"/>
        <w:rPr>
          <w:rFonts w:hint="eastAsia" w:ascii="方正小标宋_GBK" w:hAnsi="方正小标宋_GBK" w:eastAsia="方正小标宋_GBK" w:cs="方正小标宋_GBK"/>
          <w:sz w:val="72"/>
          <w:szCs w:val="72"/>
        </w:rPr>
      </w:pPr>
    </w:p>
    <w:p w14:paraId="3D0D4D8C">
      <w:pPr>
        <w:pStyle w:val="12"/>
        <w:jc w:val="center"/>
        <w:rPr>
          <w:rFonts w:hint="eastAsia" w:ascii="方正小标宋_GBK" w:hAnsi="方正小标宋_GBK" w:eastAsia="方正小标宋_GBK" w:cs="方正小标宋_GBK"/>
          <w:sz w:val="72"/>
          <w:szCs w:val="72"/>
        </w:rPr>
      </w:pPr>
    </w:p>
    <w:p w14:paraId="4DB0DE2E">
      <w:pPr>
        <w:pStyle w:val="12"/>
        <w:jc w:val="center"/>
        <w:rPr>
          <w:rFonts w:hint="eastAsia" w:ascii="方正小标宋_GBK" w:hAnsi="方正小标宋_GBK" w:eastAsia="方正小标宋_GBK" w:cs="方正小标宋_GBK"/>
          <w:sz w:val="72"/>
          <w:szCs w:val="72"/>
        </w:rPr>
      </w:pPr>
    </w:p>
    <w:p w14:paraId="236BCDA6">
      <w:pPr>
        <w:pStyle w:val="12"/>
        <w:jc w:val="center"/>
        <w:rPr>
          <w:rFonts w:hint="eastAsia" w:ascii="方正小标宋_GBK" w:hAnsi="方正小标宋_GBK" w:eastAsia="方正小标宋_GBK" w:cs="方正小标宋_GBK"/>
          <w:sz w:val="72"/>
          <w:szCs w:val="72"/>
        </w:rPr>
      </w:pPr>
    </w:p>
    <w:p w14:paraId="79240D3D">
      <w:pPr>
        <w:pStyle w:val="12"/>
        <w:jc w:val="center"/>
        <w:rPr>
          <w:rFonts w:hint="eastAsia" w:ascii="方正小标宋_GBK" w:hAnsi="方正小标宋_GBK" w:eastAsia="方正小标宋_GBK" w:cs="方正小标宋_GBK"/>
          <w:sz w:val="72"/>
          <w:szCs w:val="72"/>
        </w:rPr>
      </w:pPr>
    </w:p>
    <w:p w14:paraId="475C1000">
      <w:pPr>
        <w:pStyle w:val="12"/>
        <w:jc w:val="center"/>
        <w:rPr>
          <w:rFonts w:hint="eastAsia" w:ascii="方正小标宋_GBK" w:hAnsi="方正小标宋_GBK" w:eastAsia="方正小标宋_GBK" w:cs="方正小标宋_GBK"/>
          <w:sz w:val="72"/>
          <w:szCs w:val="72"/>
        </w:rPr>
      </w:pPr>
    </w:p>
    <w:p w14:paraId="6A5A782C">
      <w:pPr>
        <w:pStyle w:val="12"/>
        <w:jc w:val="center"/>
        <w:rPr>
          <w:rFonts w:hint="eastAsia" w:ascii="方正小标宋_GBK" w:hAnsi="方正小标宋_GBK" w:eastAsia="方正小标宋_GBK" w:cs="方正小标宋_GBK"/>
          <w:sz w:val="72"/>
          <w:szCs w:val="72"/>
        </w:rPr>
      </w:pPr>
      <w:r>
        <w:rPr>
          <w:rFonts w:hint="eastAsia" w:ascii="方正小标宋_GBK" w:hAnsi="方正小标宋_GBK" w:eastAsia="方正小标宋_GBK" w:cs="方正小标宋_GBK"/>
          <w:sz w:val="72"/>
          <w:szCs w:val="72"/>
        </w:rPr>
        <w:t>第四部分</w:t>
      </w:r>
    </w:p>
    <w:p w14:paraId="2DDD6447">
      <w:pPr>
        <w:jc w:val="center"/>
        <w:rPr>
          <w:rFonts w:hint="eastAsia" w:ascii="方正小标宋_GBK" w:hAnsi="方正小标宋_GBK" w:eastAsia="方正小标宋_GBK" w:cs="方正小标宋_GBK"/>
          <w:color w:val="000000"/>
          <w:kern w:val="0"/>
          <w:sz w:val="70"/>
          <w:szCs w:val="70"/>
        </w:rPr>
      </w:pPr>
    </w:p>
    <w:p w14:paraId="41992F86">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color w:val="000000"/>
          <w:kern w:val="0"/>
          <w:sz w:val="70"/>
          <w:szCs w:val="70"/>
        </w:rPr>
        <w:t>名词解释</w:t>
      </w:r>
    </w:p>
    <w:p w14:paraId="571298D0">
      <w:pPr>
        <w:pStyle w:val="2"/>
      </w:pPr>
    </w:p>
    <w:p w14:paraId="5331F884">
      <w:pPr>
        <w:pStyle w:val="3"/>
      </w:pPr>
    </w:p>
    <w:p w14:paraId="2CCAD852"/>
    <w:p w14:paraId="440E89DF">
      <w:pPr>
        <w:pStyle w:val="2"/>
      </w:pPr>
    </w:p>
    <w:p w14:paraId="645B9B76">
      <w:pPr>
        <w:pStyle w:val="3"/>
      </w:pPr>
    </w:p>
    <w:p w14:paraId="539F25AC"/>
    <w:p w14:paraId="47AFAB8F">
      <w:pPr>
        <w:pStyle w:val="2"/>
      </w:pPr>
    </w:p>
    <w:p w14:paraId="479D6353">
      <w:pPr>
        <w:pStyle w:val="3"/>
      </w:pPr>
    </w:p>
    <w:p w14:paraId="648103ED"/>
    <w:p w14:paraId="08A5EA8F">
      <w:pPr>
        <w:pStyle w:val="2"/>
      </w:pPr>
    </w:p>
    <w:p w14:paraId="3FD0BAB6">
      <w:pPr>
        <w:pStyle w:val="3"/>
      </w:pPr>
    </w:p>
    <w:p w14:paraId="1CAE18D7"/>
    <w:p w14:paraId="5994BDDC">
      <w:pPr>
        <w:pStyle w:val="2"/>
      </w:pPr>
    </w:p>
    <w:p w14:paraId="51F60F8D">
      <w:pPr>
        <w:pStyle w:val="3"/>
      </w:pPr>
    </w:p>
    <w:p w14:paraId="715B8195"/>
    <w:p w14:paraId="3F608935">
      <w:pPr>
        <w:pStyle w:val="2"/>
      </w:pPr>
    </w:p>
    <w:p w14:paraId="274FE3C9">
      <w:pPr>
        <w:ind w:firstLine="640" w:firstLineChars="200"/>
        <w:jc w:val="left"/>
        <w:rPr>
          <w:rFonts w:hint="eastAsia" w:ascii="仿宋_GB2312" w:hAnsi="仿宋_GB2312" w:eastAsia="仿宋_GB2312" w:cs="仿宋_GB2312"/>
          <w:color w:val="000000"/>
          <w:kern w:val="0"/>
          <w:sz w:val="32"/>
          <w:szCs w:val="32"/>
        </w:rPr>
      </w:pPr>
    </w:p>
    <w:p w14:paraId="1741E604">
      <w:pPr>
        <w:ind w:firstLine="640" w:firstLineChars="200"/>
        <w:jc w:val="left"/>
        <w:rPr>
          <w:rFonts w:hint="eastAsia" w:ascii="仿宋_GB2312" w:hAnsi="仿宋_GB2312" w:eastAsia="仿宋_GB2312" w:cs="仿宋_GB2312"/>
          <w:color w:val="000000"/>
          <w:kern w:val="0"/>
          <w:sz w:val="32"/>
          <w:szCs w:val="32"/>
        </w:rPr>
      </w:pPr>
    </w:p>
    <w:p w14:paraId="02E59030">
      <w:pPr>
        <w:ind w:firstLine="640" w:firstLineChars="200"/>
        <w:jc w:val="left"/>
        <w:rPr>
          <w:rFonts w:hint="eastAsia" w:ascii="仿宋_GB2312" w:hAnsi="仿宋_GB2312" w:eastAsia="仿宋_GB2312" w:cs="仿宋_GB2312"/>
          <w:color w:val="000000"/>
          <w:kern w:val="0"/>
          <w:sz w:val="32"/>
          <w:szCs w:val="32"/>
        </w:rPr>
      </w:pPr>
    </w:p>
    <w:p w14:paraId="61CE71B9">
      <w:pPr>
        <w:pStyle w:val="2"/>
        <w:rPr>
          <w:rFonts w:hint="eastAsia"/>
        </w:rPr>
      </w:pPr>
    </w:p>
    <w:p w14:paraId="793F6BC2">
      <w:pPr>
        <w:ind w:firstLine="640" w:firstLineChars="200"/>
        <w:jc w:val="left"/>
        <w:rPr>
          <w:rFonts w:hint="eastAsia" w:ascii="仿宋_GB2312" w:hAnsi="仿宋_GB2312" w:eastAsia="仿宋_GB2312" w:cs="仿宋_GB2312"/>
          <w:color w:val="000000"/>
          <w:kern w:val="0"/>
          <w:sz w:val="32"/>
          <w:szCs w:val="32"/>
        </w:rPr>
      </w:pPr>
    </w:p>
    <w:p w14:paraId="754BC716">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三公”经费：指用财政拨款安排的因公出国（境）费、公务用车购置及运行费和公务接待费。其中，因公出国（境）费反映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14:paraId="575346AC">
      <w:pPr>
        <w:ind w:firstLine="640" w:firstLineChars="200"/>
        <w:jc w:val="left"/>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二、机关运行经费</w:t>
      </w:r>
      <w:r>
        <w:rPr>
          <w:rFonts w:hint="eastAsia" w:ascii="仿宋_GB2312" w:hAnsi="仿宋_GB2312" w:eastAsia="仿宋_GB2312" w:cs="仿宋_GB2312"/>
          <w:color w:val="000000"/>
          <w:kern w:val="0"/>
          <w:sz w:val="32"/>
          <w:szCs w:val="32"/>
          <w:lang w:eastAsia="zh-CN"/>
        </w:rPr>
        <w:t>，指为保障行政单位（包括参照公务员法管理的事业单位）运行用于购买货物和服务的各项资金</w:t>
      </w:r>
      <w:r>
        <w:rPr>
          <w:rFonts w:hint="eastAsia" w:ascii="仿宋_GB2312" w:hAnsi="仿宋_GB2312" w:eastAsia="仿宋_GB2312" w:cs="仿宋_GB2312"/>
          <w:color w:val="000000"/>
          <w:kern w:val="0"/>
          <w:sz w:val="32"/>
          <w:szCs w:val="32"/>
        </w:rPr>
        <w:t>，包括办公</w:t>
      </w:r>
      <w:r>
        <w:rPr>
          <w:rFonts w:hint="eastAsia" w:ascii="仿宋_GB2312" w:hAnsi="仿宋_GB2312" w:eastAsia="仿宋_GB2312" w:cs="仿宋_GB2312"/>
          <w:color w:val="000000"/>
          <w:kern w:val="0"/>
          <w:sz w:val="32"/>
          <w:szCs w:val="32"/>
          <w:lang w:eastAsia="zh-CN"/>
        </w:rPr>
        <w:t>费、</w:t>
      </w:r>
      <w:r>
        <w:rPr>
          <w:rFonts w:hint="eastAsia" w:ascii="仿宋_GB2312" w:hAnsi="仿宋_GB2312" w:eastAsia="仿宋_GB2312" w:cs="仿宋_GB2312"/>
          <w:color w:val="000000"/>
          <w:kern w:val="0"/>
          <w:sz w:val="32"/>
          <w:szCs w:val="32"/>
        </w:rPr>
        <w:t>印刷费、邮电费、差旅费、会议费、日常维修费、专用材料及一般设备购置费、办公用房水电费、办公用房取暖费、办公用房物业管理费、公务用车运行维护费以及其他费用。</w:t>
      </w:r>
    </w:p>
    <w:p w14:paraId="4A4E5DB6">
      <w:pPr>
        <w:keepNext w:val="0"/>
        <w:keepLines w:val="0"/>
        <w:pageBreakBefore w:val="0"/>
        <w:widowControl w:val="0"/>
        <w:kinsoku/>
        <w:wordWrap/>
        <w:overflowPunct/>
        <w:topLinePunct w:val="0"/>
        <w:autoSpaceDE w:val="0"/>
        <w:autoSpaceDN w:val="0"/>
        <w:bidi w:val="0"/>
        <w:adjustRightInd w:val="0"/>
        <w:snapToGrid/>
        <w:spacing w:line="600" w:lineRule="exact"/>
        <w:ind w:firstLine="640" w:firstLineChars="200"/>
        <w:textAlignment w:val="auto"/>
        <w:rPr>
          <w:rFonts w:hint="eastAsia" w:ascii="仿宋_GB2312" w:hAnsi="仿宋_GB2312" w:eastAsia="仿宋_GB2312" w:cs="仿宋_GB2312"/>
          <w:b/>
          <w:bCs/>
          <w:i/>
          <w:color w:val="FF0000"/>
          <w:kern w:val="0"/>
          <w:sz w:val="32"/>
          <w:szCs w:val="32"/>
          <w:lang w:val="en-US" w:eastAsia="zh-CN" w:bidi="ar-SA"/>
        </w:rPr>
      </w:pPr>
      <w:bookmarkStart w:id="0" w:name="_GoBack"/>
      <w:bookmarkEnd w:id="0"/>
    </w:p>
    <w:p w14:paraId="2AE81CE8">
      <w:pPr>
        <w:pStyle w:val="12"/>
        <w:jc w:val="center"/>
        <w:rPr>
          <w:rFonts w:hint="eastAsia" w:ascii="仿宋_GB2312" w:hAnsi="仿宋_GB2312" w:eastAsia="仿宋_GB2312" w:cs="仿宋_GB2312"/>
          <w:sz w:val="32"/>
          <w:szCs w:val="32"/>
        </w:rPr>
      </w:pPr>
    </w:p>
    <w:p w14:paraId="1D47518A">
      <w:pPr>
        <w:pStyle w:val="3"/>
      </w:pPr>
    </w:p>
    <w:p w14:paraId="580CF8E4"/>
    <w:p w14:paraId="0C17744C">
      <w:pPr>
        <w:pStyle w:val="2"/>
      </w:pPr>
    </w:p>
    <w:p w14:paraId="7B8BABF4">
      <w:pPr>
        <w:pStyle w:val="3"/>
      </w:pPr>
    </w:p>
    <w:p w14:paraId="1942C0DC"/>
    <w:p w14:paraId="6E2D1EEF">
      <w:pPr>
        <w:pStyle w:val="2"/>
      </w:pPr>
    </w:p>
    <w:p w14:paraId="5F6ABC3B">
      <w:pPr>
        <w:pStyle w:val="3"/>
      </w:pPr>
    </w:p>
    <w:p w14:paraId="51BE6437"/>
    <w:p w14:paraId="05344CBA">
      <w:pPr>
        <w:pStyle w:val="2"/>
      </w:pPr>
    </w:p>
    <w:p w14:paraId="5C9170AD">
      <w:pPr>
        <w:pStyle w:val="3"/>
      </w:pPr>
    </w:p>
    <w:p w14:paraId="29D3A91E"/>
    <w:p w14:paraId="0D2A994E">
      <w:pPr>
        <w:pStyle w:val="2"/>
      </w:pPr>
    </w:p>
    <w:p w14:paraId="59CBCCA7">
      <w:pPr>
        <w:pStyle w:val="3"/>
      </w:pPr>
    </w:p>
    <w:p w14:paraId="67806EBD"/>
    <w:p w14:paraId="7C18BB03">
      <w:pPr>
        <w:pStyle w:val="2"/>
      </w:pPr>
    </w:p>
    <w:p w14:paraId="29230CAD">
      <w:pPr>
        <w:pStyle w:val="3"/>
      </w:pPr>
    </w:p>
    <w:p w14:paraId="724E0A54"/>
    <w:p w14:paraId="496F732E">
      <w:pPr>
        <w:pStyle w:val="2"/>
      </w:pPr>
    </w:p>
    <w:p w14:paraId="354ECFD8">
      <w:pPr>
        <w:pStyle w:val="3"/>
      </w:pPr>
    </w:p>
    <w:p w14:paraId="51C67B38"/>
    <w:p w14:paraId="4D131F3E"/>
    <w:p w14:paraId="7CFBCE3C">
      <w:pPr>
        <w:pStyle w:val="2"/>
      </w:pPr>
    </w:p>
    <w:p w14:paraId="5C3DE094">
      <w:pPr>
        <w:pStyle w:val="12"/>
        <w:jc w:val="both"/>
        <w:rPr>
          <w:rFonts w:hint="eastAsia" w:ascii="方正小标宋_GBK" w:hAnsi="方正小标宋_GBK" w:eastAsia="方正小标宋_GBK" w:cs="方正小标宋_GBK"/>
          <w:sz w:val="72"/>
          <w:szCs w:val="72"/>
        </w:rPr>
      </w:pPr>
    </w:p>
    <w:p w14:paraId="0C1858E3">
      <w:pPr>
        <w:pStyle w:val="12"/>
        <w:jc w:val="center"/>
        <w:rPr>
          <w:rFonts w:hint="eastAsia" w:ascii="方正小标宋_GBK" w:hAnsi="方正小标宋_GBK" w:eastAsia="方正小标宋_GBK" w:cs="方正小标宋_GBK"/>
          <w:sz w:val="70"/>
          <w:szCs w:val="70"/>
        </w:rPr>
      </w:pPr>
      <w:r>
        <w:rPr>
          <w:rFonts w:hint="eastAsia" w:ascii="方正小标宋_GBK" w:hAnsi="方正小标宋_GBK" w:eastAsia="方正小标宋_GBK" w:cs="方正小标宋_GBK"/>
          <w:sz w:val="72"/>
          <w:szCs w:val="72"/>
        </w:rPr>
        <w:t>第</w:t>
      </w:r>
      <w:r>
        <w:rPr>
          <w:rFonts w:hint="eastAsia" w:ascii="方正小标宋_GBK" w:hAnsi="方正小标宋_GBK" w:eastAsia="方正小标宋_GBK" w:cs="方正小标宋_GBK"/>
          <w:sz w:val="72"/>
          <w:szCs w:val="72"/>
          <w:lang w:eastAsia="zh-CN"/>
        </w:rPr>
        <w:t>五</w:t>
      </w:r>
      <w:r>
        <w:rPr>
          <w:rFonts w:hint="eastAsia" w:ascii="方正小标宋_GBK" w:hAnsi="方正小标宋_GBK" w:eastAsia="方正小标宋_GBK" w:cs="方正小标宋_GBK"/>
          <w:sz w:val="72"/>
          <w:szCs w:val="72"/>
        </w:rPr>
        <w:t>部分</w:t>
      </w:r>
    </w:p>
    <w:p w14:paraId="592BF6CA">
      <w:pPr>
        <w:pStyle w:val="12"/>
        <w:jc w:val="both"/>
        <w:rPr>
          <w:rFonts w:hint="eastAsia" w:ascii="方正小标宋_GBK" w:hAnsi="方正小标宋_GBK" w:eastAsia="方正小标宋_GBK" w:cs="方正小标宋_GBK"/>
          <w:sz w:val="70"/>
          <w:szCs w:val="70"/>
          <w:lang w:eastAsia="zh-CN"/>
        </w:rPr>
      </w:pPr>
    </w:p>
    <w:p w14:paraId="490142D3">
      <w:pPr>
        <w:pStyle w:val="12"/>
        <w:jc w:val="center"/>
        <w:rPr>
          <w:rFonts w:hint="eastAsia" w:ascii="方正小标宋_GBK" w:hAnsi="方正小标宋_GBK" w:eastAsia="方正小标宋_GBK" w:cs="方正小标宋_GBK"/>
          <w:sz w:val="70"/>
          <w:szCs w:val="70"/>
          <w:lang w:eastAsia="zh-CN"/>
        </w:rPr>
      </w:pPr>
      <w:r>
        <w:rPr>
          <w:rFonts w:hint="eastAsia" w:ascii="方正小标宋_GBK" w:hAnsi="方正小标宋_GBK" w:eastAsia="方正小标宋_GBK" w:cs="方正小标宋_GBK"/>
          <w:sz w:val="70"/>
          <w:szCs w:val="70"/>
          <w:lang w:eastAsia="zh-CN"/>
        </w:rPr>
        <w:t>附</w:t>
      </w:r>
      <w:r>
        <w:rPr>
          <w:rFonts w:hint="eastAsia" w:ascii="方正小标宋_GBK" w:hAnsi="方正小标宋_GBK" w:eastAsia="方正小标宋_GBK" w:cs="方正小标宋_GBK"/>
          <w:sz w:val="70"/>
          <w:szCs w:val="70"/>
          <w:lang w:val="en-US" w:eastAsia="zh-CN"/>
        </w:rPr>
        <w:t xml:space="preserve"> </w:t>
      </w:r>
      <w:r>
        <w:rPr>
          <w:rFonts w:hint="eastAsia" w:ascii="方正小标宋_GBK" w:hAnsi="方正小标宋_GBK" w:eastAsia="方正小标宋_GBK" w:cs="方正小标宋_GBK"/>
          <w:sz w:val="70"/>
          <w:szCs w:val="70"/>
          <w:lang w:eastAsia="zh-CN"/>
        </w:rPr>
        <w:t>件</w:t>
      </w:r>
    </w:p>
    <w:p w14:paraId="3243C04E">
      <w:pPr>
        <w:ind w:firstLine="640" w:firstLineChars="200"/>
        <w:jc w:val="left"/>
        <w:rPr>
          <w:rFonts w:hint="eastAsia" w:ascii="宋体" w:hAnsi="宋体" w:eastAsia="宋体" w:cs="黑体"/>
          <w:b/>
          <w:color w:val="000000"/>
          <w:kern w:val="0"/>
          <w:sz w:val="32"/>
          <w:szCs w:val="32"/>
          <w:lang w:val="en-US" w:eastAsia="zh-CN"/>
        </w:rPr>
      </w:pPr>
    </w:p>
    <w:p w14:paraId="4EAC9354">
      <w:pPr>
        <w:ind w:firstLine="640" w:firstLineChars="200"/>
        <w:jc w:val="left"/>
        <w:rPr>
          <w:rFonts w:hint="eastAsia" w:ascii="宋体" w:hAnsi="宋体" w:eastAsia="宋体" w:cs="黑体"/>
          <w:b/>
          <w:color w:val="000000"/>
          <w:kern w:val="0"/>
          <w:sz w:val="32"/>
          <w:szCs w:val="32"/>
          <w:lang w:val="en-US" w:eastAsia="zh-CN"/>
        </w:rPr>
      </w:pPr>
      <w:r>
        <w:rPr>
          <w:rFonts w:hint="eastAsia" w:ascii="宋体" w:hAnsi="宋体" w:eastAsia="宋体" w:cs="黑体"/>
          <w:b/>
          <w:color w:val="000000"/>
          <w:kern w:val="0"/>
          <w:sz w:val="32"/>
          <w:szCs w:val="32"/>
          <w:lang w:val="en-US" w:eastAsia="zh-CN"/>
        </w:rPr>
        <w:t>1、</w:t>
      </w:r>
      <w:r>
        <w:rPr>
          <w:rFonts w:hint="eastAsia" w:ascii="宋体" w:hAnsi="宋体" w:eastAsia="宋体" w:cs="黑体"/>
          <w:b/>
          <w:color w:val="000000"/>
          <w:kern w:val="0"/>
          <w:sz w:val="32"/>
          <w:szCs w:val="32"/>
          <w:highlight w:val="none"/>
          <w:lang w:val="en-US" w:eastAsia="zh-CN"/>
        </w:rPr>
        <w:t>2024</w:t>
      </w:r>
      <w:r>
        <w:rPr>
          <w:rFonts w:hint="eastAsia" w:ascii="宋体" w:hAnsi="宋体" w:eastAsia="宋体" w:cs="黑体"/>
          <w:b/>
          <w:color w:val="000000"/>
          <w:kern w:val="0"/>
          <w:sz w:val="32"/>
          <w:szCs w:val="32"/>
          <w:lang w:val="en-US" w:eastAsia="zh-CN"/>
        </w:rPr>
        <w:t>年部门决算公开表格</w:t>
      </w:r>
    </w:p>
    <w:p w14:paraId="27E2EE8B">
      <w:pPr>
        <w:ind w:firstLine="640" w:firstLineChars="200"/>
        <w:jc w:val="left"/>
        <w:rPr>
          <w:rFonts w:ascii="宋体" w:hAnsi="宋体" w:eastAsia="宋体" w:cs="黑体"/>
          <w:color w:val="000000"/>
          <w:kern w:val="0"/>
          <w:sz w:val="32"/>
          <w:szCs w:val="32"/>
        </w:rPr>
      </w:pPr>
      <w:r>
        <w:rPr>
          <w:rFonts w:hint="eastAsia" w:ascii="宋体" w:hAnsi="宋体" w:eastAsia="宋体" w:cs="黑体"/>
          <w:b/>
          <w:color w:val="000000"/>
          <w:kern w:val="0"/>
          <w:sz w:val="32"/>
          <w:szCs w:val="32"/>
          <w:lang w:val="en-US" w:eastAsia="zh-CN"/>
        </w:rPr>
        <w:t>2、</w:t>
      </w:r>
      <w:r>
        <w:rPr>
          <w:rFonts w:hint="eastAsia" w:ascii="宋体" w:hAnsi="宋体" w:eastAsia="宋体" w:cs="黑体"/>
          <w:b/>
          <w:color w:val="000000"/>
          <w:kern w:val="0"/>
          <w:sz w:val="32"/>
          <w:szCs w:val="32"/>
          <w:highlight w:val="none"/>
        </w:rPr>
        <w:t>202</w:t>
      </w:r>
      <w:r>
        <w:rPr>
          <w:rFonts w:hint="eastAsia" w:ascii="宋体" w:hAnsi="宋体" w:eastAsia="宋体" w:cs="黑体"/>
          <w:b/>
          <w:color w:val="000000"/>
          <w:kern w:val="0"/>
          <w:sz w:val="32"/>
          <w:szCs w:val="32"/>
          <w:highlight w:val="none"/>
          <w:lang w:val="en-US" w:eastAsia="zh-CN"/>
        </w:rPr>
        <w:t>4</w:t>
      </w:r>
      <w:r>
        <w:rPr>
          <w:rFonts w:hint="eastAsia" w:ascii="宋体" w:hAnsi="宋体" w:eastAsia="宋体" w:cs="黑体"/>
          <w:b/>
          <w:color w:val="000000"/>
          <w:kern w:val="0"/>
          <w:sz w:val="32"/>
          <w:szCs w:val="32"/>
        </w:rPr>
        <w:t>年度部门整体支出绩效评价报告</w:t>
      </w:r>
    </w:p>
    <w:p w14:paraId="045AD96C"/>
    <w:sectPr>
      <w:pgSz w:w="11906" w:h="16838"/>
      <w:pgMar w:top="720" w:right="720" w:bottom="720" w:left="720"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方正仿宋_GBK">
    <w:altName w:val="微软雅黑"/>
    <w:panose1 w:val="02000000000000000000"/>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方正楷体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EDECFD4"/>
    <w:multiLevelType w:val="singleLevel"/>
    <w:tmpl w:val="8EDECFD4"/>
    <w:lvl w:ilvl="0" w:tentative="0">
      <w:start w:val="3"/>
      <w:numFmt w:val="chineseCounting"/>
      <w:suff w:val="nothing"/>
      <w:lvlText w:val="（%1）"/>
      <w:lvlJc w:val="left"/>
      <w:rPr>
        <w:rFonts w:hint="eastAsia"/>
      </w:rPr>
    </w:lvl>
  </w:abstractNum>
  <w:abstractNum w:abstractNumId="1">
    <w:nsid w:val="373518C1"/>
    <w:multiLevelType w:val="multilevel"/>
    <w:tmpl w:val="373518C1"/>
    <w:lvl w:ilvl="0" w:tentative="0">
      <w:start w:val="1"/>
      <w:numFmt w:val="none"/>
      <w:lvlText w:val="一、"/>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06F9"/>
    <w:rsid w:val="0002229B"/>
    <w:rsid w:val="000273BD"/>
    <w:rsid w:val="00040CBC"/>
    <w:rsid w:val="000415B7"/>
    <w:rsid w:val="00041E3F"/>
    <w:rsid w:val="00055DAA"/>
    <w:rsid w:val="00061F7B"/>
    <w:rsid w:val="000658A3"/>
    <w:rsid w:val="00074155"/>
    <w:rsid w:val="000A3F69"/>
    <w:rsid w:val="00103957"/>
    <w:rsid w:val="00133387"/>
    <w:rsid w:val="00152C6D"/>
    <w:rsid w:val="00162D39"/>
    <w:rsid w:val="001678BD"/>
    <w:rsid w:val="00182373"/>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926B9"/>
    <w:rsid w:val="003C47E6"/>
    <w:rsid w:val="003C4FC2"/>
    <w:rsid w:val="00416E61"/>
    <w:rsid w:val="0042790C"/>
    <w:rsid w:val="004506F9"/>
    <w:rsid w:val="004717A2"/>
    <w:rsid w:val="00473DF3"/>
    <w:rsid w:val="00487911"/>
    <w:rsid w:val="00491741"/>
    <w:rsid w:val="004B0CEE"/>
    <w:rsid w:val="004C38C7"/>
    <w:rsid w:val="00500138"/>
    <w:rsid w:val="00500E5F"/>
    <w:rsid w:val="005122EF"/>
    <w:rsid w:val="0051441A"/>
    <w:rsid w:val="00517C33"/>
    <w:rsid w:val="00517D5F"/>
    <w:rsid w:val="00523644"/>
    <w:rsid w:val="0054069E"/>
    <w:rsid w:val="00544866"/>
    <w:rsid w:val="005767CC"/>
    <w:rsid w:val="00590D9F"/>
    <w:rsid w:val="00595D26"/>
    <w:rsid w:val="005A74E6"/>
    <w:rsid w:val="005B404E"/>
    <w:rsid w:val="005D4D55"/>
    <w:rsid w:val="005E2CFB"/>
    <w:rsid w:val="005F2103"/>
    <w:rsid w:val="005F3D1C"/>
    <w:rsid w:val="0062378F"/>
    <w:rsid w:val="00641842"/>
    <w:rsid w:val="00651EEC"/>
    <w:rsid w:val="00686673"/>
    <w:rsid w:val="00691E8C"/>
    <w:rsid w:val="006A22C4"/>
    <w:rsid w:val="006A351B"/>
    <w:rsid w:val="006B0422"/>
    <w:rsid w:val="006C1B53"/>
    <w:rsid w:val="006D7730"/>
    <w:rsid w:val="006E5284"/>
    <w:rsid w:val="006F3EB5"/>
    <w:rsid w:val="00702E34"/>
    <w:rsid w:val="00704395"/>
    <w:rsid w:val="00710FE7"/>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B4D8E"/>
    <w:rsid w:val="009C3B52"/>
    <w:rsid w:val="009E6817"/>
    <w:rsid w:val="009E6E9A"/>
    <w:rsid w:val="00A01D2B"/>
    <w:rsid w:val="00A42218"/>
    <w:rsid w:val="00A70249"/>
    <w:rsid w:val="00A70B02"/>
    <w:rsid w:val="00A71D9F"/>
    <w:rsid w:val="00A92E9F"/>
    <w:rsid w:val="00AB1812"/>
    <w:rsid w:val="00AB18FF"/>
    <w:rsid w:val="00B33BEA"/>
    <w:rsid w:val="00B57C9F"/>
    <w:rsid w:val="00B63572"/>
    <w:rsid w:val="00B845B3"/>
    <w:rsid w:val="00B85D8B"/>
    <w:rsid w:val="00BB4A40"/>
    <w:rsid w:val="00BD6C3E"/>
    <w:rsid w:val="00BE3674"/>
    <w:rsid w:val="00C10681"/>
    <w:rsid w:val="00C3049A"/>
    <w:rsid w:val="00C31B1E"/>
    <w:rsid w:val="00C77645"/>
    <w:rsid w:val="00CE04C3"/>
    <w:rsid w:val="00CE76A0"/>
    <w:rsid w:val="00D148C6"/>
    <w:rsid w:val="00D17A8A"/>
    <w:rsid w:val="00D415BA"/>
    <w:rsid w:val="00D63780"/>
    <w:rsid w:val="00D644EE"/>
    <w:rsid w:val="00DD06FF"/>
    <w:rsid w:val="00DD5FE9"/>
    <w:rsid w:val="00E00C7A"/>
    <w:rsid w:val="00E37D6C"/>
    <w:rsid w:val="00E55B68"/>
    <w:rsid w:val="00E561AE"/>
    <w:rsid w:val="00E67BE6"/>
    <w:rsid w:val="00E8683C"/>
    <w:rsid w:val="00EA2B72"/>
    <w:rsid w:val="00F74360"/>
    <w:rsid w:val="00FB462F"/>
    <w:rsid w:val="00FE16FA"/>
    <w:rsid w:val="00FE328A"/>
    <w:rsid w:val="00FE6269"/>
    <w:rsid w:val="00FF5CD6"/>
    <w:rsid w:val="0121154A"/>
    <w:rsid w:val="01D86637"/>
    <w:rsid w:val="021653B1"/>
    <w:rsid w:val="021A09FD"/>
    <w:rsid w:val="021F4265"/>
    <w:rsid w:val="026B1259"/>
    <w:rsid w:val="026B74AB"/>
    <w:rsid w:val="02B40520"/>
    <w:rsid w:val="02C62933"/>
    <w:rsid w:val="02C92423"/>
    <w:rsid w:val="030865FC"/>
    <w:rsid w:val="031A67DB"/>
    <w:rsid w:val="03DF1EFE"/>
    <w:rsid w:val="04604C2D"/>
    <w:rsid w:val="04B83F42"/>
    <w:rsid w:val="04FA4B16"/>
    <w:rsid w:val="05025778"/>
    <w:rsid w:val="05426486"/>
    <w:rsid w:val="0575419C"/>
    <w:rsid w:val="059958AD"/>
    <w:rsid w:val="059A3C03"/>
    <w:rsid w:val="05A60CF4"/>
    <w:rsid w:val="05CD0FCB"/>
    <w:rsid w:val="06C857E7"/>
    <w:rsid w:val="06E8731C"/>
    <w:rsid w:val="072145DC"/>
    <w:rsid w:val="07AE667C"/>
    <w:rsid w:val="08326375"/>
    <w:rsid w:val="08566507"/>
    <w:rsid w:val="08664074"/>
    <w:rsid w:val="08C24A73"/>
    <w:rsid w:val="09CD0A4B"/>
    <w:rsid w:val="0A073F5D"/>
    <w:rsid w:val="0A456833"/>
    <w:rsid w:val="0A805ABD"/>
    <w:rsid w:val="0A8D5817"/>
    <w:rsid w:val="0B3348DE"/>
    <w:rsid w:val="0B36617C"/>
    <w:rsid w:val="0BA94615"/>
    <w:rsid w:val="0BCD72EB"/>
    <w:rsid w:val="0BDC4F75"/>
    <w:rsid w:val="0BF4406D"/>
    <w:rsid w:val="0CA75583"/>
    <w:rsid w:val="0D197B03"/>
    <w:rsid w:val="0D6B035F"/>
    <w:rsid w:val="0D701E19"/>
    <w:rsid w:val="0D8458C4"/>
    <w:rsid w:val="0D935B07"/>
    <w:rsid w:val="0DEE2D3E"/>
    <w:rsid w:val="0E5A03D3"/>
    <w:rsid w:val="0EA53D44"/>
    <w:rsid w:val="0ECA5559"/>
    <w:rsid w:val="0ED63EFE"/>
    <w:rsid w:val="0F1D38DB"/>
    <w:rsid w:val="0FE32D76"/>
    <w:rsid w:val="10125409"/>
    <w:rsid w:val="10596F52"/>
    <w:rsid w:val="109E6713"/>
    <w:rsid w:val="10B6580A"/>
    <w:rsid w:val="10DB3A4D"/>
    <w:rsid w:val="11944E2C"/>
    <w:rsid w:val="12583BA5"/>
    <w:rsid w:val="12D544CC"/>
    <w:rsid w:val="13B011C1"/>
    <w:rsid w:val="13BA5B9C"/>
    <w:rsid w:val="14506500"/>
    <w:rsid w:val="14811469"/>
    <w:rsid w:val="14A517D7"/>
    <w:rsid w:val="14D82B3B"/>
    <w:rsid w:val="14DD7671"/>
    <w:rsid w:val="15145020"/>
    <w:rsid w:val="158C27EA"/>
    <w:rsid w:val="160615B1"/>
    <w:rsid w:val="16815B1E"/>
    <w:rsid w:val="168C1346"/>
    <w:rsid w:val="16B34EEB"/>
    <w:rsid w:val="16BA1030"/>
    <w:rsid w:val="16E11692"/>
    <w:rsid w:val="17321EED"/>
    <w:rsid w:val="17836BED"/>
    <w:rsid w:val="17966920"/>
    <w:rsid w:val="17C82534"/>
    <w:rsid w:val="17FB6783"/>
    <w:rsid w:val="18342871"/>
    <w:rsid w:val="187B411D"/>
    <w:rsid w:val="18AE7C99"/>
    <w:rsid w:val="18AF5EEB"/>
    <w:rsid w:val="18C1177B"/>
    <w:rsid w:val="18C179CD"/>
    <w:rsid w:val="18D54BE3"/>
    <w:rsid w:val="18F90F15"/>
    <w:rsid w:val="19C5529B"/>
    <w:rsid w:val="1A0758B3"/>
    <w:rsid w:val="1A1B135F"/>
    <w:rsid w:val="1B5E7755"/>
    <w:rsid w:val="1BC670A8"/>
    <w:rsid w:val="1C2564C4"/>
    <w:rsid w:val="1D570900"/>
    <w:rsid w:val="1D97DEFF"/>
    <w:rsid w:val="1DB573D4"/>
    <w:rsid w:val="1DB810A3"/>
    <w:rsid w:val="1DC31AF1"/>
    <w:rsid w:val="1DD06990"/>
    <w:rsid w:val="1DFF72E5"/>
    <w:rsid w:val="1E4F15D7"/>
    <w:rsid w:val="1E6A01BF"/>
    <w:rsid w:val="1E8A3391"/>
    <w:rsid w:val="1EAB0F03"/>
    <w:rsid w:val="1EC21DA9"/>
    <w:rsid w:val="1EFC6F07"/>
    <w:rsid w:val="1F0527A6"/>
    <w:rsid w:val="1F2E743E"/>
    <w:rsid w:val="1F3C4780"/>
    <w:rsid w:val="1F6A2B6C"/>
    <w:rsid w:val="1F9A4AD4"/>
    <w:rsid w:val="1FBC2C9C"/>
    <w:rsid w:val="2060580A"/>
    <w:rsid w:val="207D067D"/>
    <w:rsid w:val="20B00A53"/>
    <w:rsid w:val="210F36DC"/>
    <w:rsid w:val="213571AA"/>
    <w:rsid w:val="21D20555"/>
    <w:rsid w:val="22032E04"/>
    <w:rsid w:val="221A1EFC"/>
    <w:rsid w:val="22AC03C2"/>
    <w:rsid w:val="22B36996"/>
    <w:rsid w:val="22B45EAC"/>
    <w:rsid w:val="233139A1"/>
    <w:rsid w:val="234B1E4E"/>
    <w:rsid w:val="23A93537"/>
    <w:rsid w:val="24C543A1"/>
    <w:rsid w:val="2511690E"/>
    <w:rsid w:val="255F0D4F"/>
    <w:rsid w:val="25672D36"/>
    <w:rsid w:val="25A93CC2"/>
    <w:rsid w:val="269404CF"/>
    <w:rsid w:val="26F86CAF"/>
    <w:rsid w:val="27455C6D"/>
    <w:rsid w:val="27AD7D8F"/>
    <w:rsid w:val="27D52B4D"/>
    <w:rsid w:val="283B15FE"/>
    <w:rsid w:val="2858552C"/>
    <w:rsid w:val="29DF5F05"/>
    <w:rsid w:val="2A094D30"/>
    <w:rsid w:val="2A181417"/>
    <w:rsid w:val="2A3D08F3"/>
    <w:rsid w:val="2AC06021"/>
    <w:rsid w:val="2B157704"/>
    <w:rsid w:val="2B2B6F28"/>
    <w:rsid w:val="2B8B0A09"/>
    <w:rsid w:val="2BAF1907"/>
    <w:rsid w:val="2C2A71DF"/>
    <w:rsid w:val="2C7B7DE6"/>
    <w:rsid w:val="2CC118F2"/>
    <w:rsid w:val="2CFA0910"/>
    <w:rsid w:val="2D1C4D7A"/>
    <w:rsid w:val="2D3C366E"/>
    <w:rsid w:val="2D5E4E08"/>
    <w:rsid w:val="2E270D42"/>
    <w:rsid w:val="2EA221B9"/>
    <w:rsid w:val="2F666780"/>
    <w:rsid w:val="2F7075FF"/>
    <w:rsid w:val="2FAF1ED5"/>
    <w:rsid w:val="2FBE036A"/>
    <w:rsid w:val="2FDF85B8"/>
    <w:rsid w:val="2FFFEE04"/>
    <w:rsid w:val="304A7E50"/>
    <w:rsid w:val="30D2231F"/>
    <w:rsid w:val="31215055"/>
    <w:rsid w:val="3123065B"/>
    <w:rsid w:val="31682C84"/>
    <w:rsid w:val="31AA504A"/>
    <w:rsid w:val="31C95635"/>
    <w:rsid w:val="31FE41DB"/>
    <w:rsid w:val="322B31A9"/>
    <w:rsid w:val="32987598"/>
    <w:rsid w:val="329F33B1"/>
    <w:rsid w:val="32B36180"/>
    <w:rsid w:val="331F55C4"/>
    <w:rsid w:val="3337290D"/>
    <w:rsid w:val="33843679"/>
    <w:rsid w:val="342866FA"/>
    <w:rsid w:val="342C0CA2"/>
    <w:rsid w:val="34793A03"/>
    <w:rsid w:val="348C0A37"/>
    <w:rsid w:val="34D81ECE"/>
    <w:rsid w:val="34DF85B0"/>
    <w:rsid w:val="34E54EBA"/>
    <w:rsid w:val="34FC3E0F"/>
    <w:rsid w:val="35305866"/>
    <w:rsid w:val="356D53FA"/>
    <w:rsid w:val="35800959"/>
    <w:rsid w:val="35D95EFE"/>
    <w:rsid w:val="367C5D69"/>
    <w:rsid w:val="36981915"/>
    <w:rsid w:val="37A20571"/>
    <w:rsid w:val="37CE6444"/>
    <w:rsid w:val="38066D52"/>
    <w:rsid w:val="381C6576"/>
    <w:rsid w:val="38913A5C"/>
    <w:rsid w:val="38D17360"/>
    <w:rsid w:val="38DD7AB3"/>
    <w:rsid w:val="39396CB4"/>
    <w:rsid w:val="395835DE"/>
    <w:rsid w:val="39671A73"/>
    <w:rsid w:val="39781A07"/>
    <w:rsid w:val="39A33DA1"/>
    <w:rsid w:val="39EC4C05"/>
    <w:rsid w:val="3A210552"/>
    <w:rsid w:val="3B27770B"/>
    <w:rsid w:val="3B751C9A"/>
    <w:rsid w:val="3B8F36BC"/>
    <w:rsid w:val="3C033CD5"/>
    <w:rsid w:val="3C1063F2"/>
    <w:rsid w:val="3C903323"/>
    <w:rsid w:val="3CD15B81"/>
    <w:rsid w:val="3D18555E"/>
    <w:rsid w:val="3D22018A"/>
    <w:rsid w:val="3D8250CD"/>
    <w:rsid w:val="3DD376D7"/>
    <w:rsid w:val="3E726EF0"/>
    <w:rsid w:val="3E9C5D1B"/>
    <w:rsid w:val="3EE651E8"/>
    <w:rsid w:val="3F2301EA"/>
    <w:rsid w:val="3F724CCD"/>
    <w:rsid w:val="3F7B0026"/>
    <w:rsid w:val="3F852C53"/>
    <w:rsid w:val="3FFF47B3"/>
    <w:rsid w:val="40381A73"/>
    <w:rsid w:val="40565930"/>
    <w:rsid w:val="407D78F4"/>
    <w:rsid w:val="418B4B79"/>
    <w:rsid w:val="41990C37"/>
    <w:rsid w:val="41D32AAF"/>
    <w:rsid w:val="424C5CAA"/>
    <w:rsid w:val="425D1C65"/>
    <w:rsid w:val="42D75573"/>
    <w:rsid w:val="43EB5BA5"/>
    <w:rsid w:val="43EF4B3E"/>
    <w:rsid w:val="452A3203"/>
    <w:rsid w:val="45BC778B"/>
    <w:rsid w:val="46415783"/>
    <w:rsid w:val="46B8390E"/>
    <w:rsid w:val="46CB1893"/>
    <w:rsid w:val="46E97F6B"/>
    <w:rsid w:val="47125D84"/>
    <w:rsid w:val="4723522B"/>
    <w:rsid w:val="475E44B5"/>
    <w:rsid w:val="47A67C0A"/>
    <w:rsid w:val="47CA38F8"/>
    <w:rsid w:val="48272AF9"/>
    <w:rsid w:val="485E1D08"/>
    <w:rsid w:val="485E2293"/>
    <w:rsid w:val="487A531F"/>
    <w:rsid w:val="48FB5D34"/>
    <w:rsid w:val="491312CF"/>
    <w:rsid w:val="491FF225"/>
    <w:rsid w:val="492957C6"/>
    <w:rsid w:val="497A134E"/>
    <w:rsid w:val="4B3317B5"/>
    <w:rsid w:val="4B4277BB"/>
    <w:rsid w:val="4B626FF1"/>
    <w:rsid w:val="4B7333D5"/>
    <w:rsid w:val="4B782AC8"/>
    <w:rsid w:val="4B920BD1"/>
    <w:rsid w:val="4BF947AC"/>
    <w:rsid w:val="4C167881"/>
    <w:rsid w:val="4C254FF3"/>
    <w:rsid w:val="4C943F4B"/>
    <w:rsid w:val="4CC06A27"/>
    <w:rsid w:val="4D39703D"/>
    <w:rsid w:val="4E143B1F"/>
    <w:rsid w:val="4E1E04FA"/>
    <w:rsid w:val="4E30022D"/>
    <w:rsid w:val="4E451F2B"/>
    <w:rsid w:val="4E853C5A"/>
    <w:rsid w:val="4EC310A1"/>
    <w:rsid w:val="4EFE053A"/>
    <w:rsid w:val="4F4A531F"/>
    <w:rsid w:val="4F4E3061"/>
    <w:rsid w:val="4F5E614A"/>
    <w:rsid w:val="4F8E7901"/>
    <w:rsid w:val="4FFD214C"/>
    <w:rsid w:val="500F0A42"/>
    <w:rsid w:val="509B4084"/>
    <w:rsid w:val="5244074B"/>
    <w:rsid w:val="52D10231"/>
    <w:rsid w:val="533D7AD9"/>
    <w:rsid w:val="5352765A"/>
    <w:rsid w:val="53782CFE"/>
    <w:rsid w:val="539A6875"/>
    <w:rsid w:val="53A616BE"/>
    <w:rsid w:val="53B316E5"/>
    <w:rsid w:val="55182504"/>
    <w:rsid w:val="55287EB0"/>
    <w:rsid w:val="55CE6CAA"/>
    <w:rsid w:val="55D43B94"/>
    <w:rsid w:val="560E70A6"/>
    <w:rsid w:val="56BA4B8C"/>
    <w:rsid w:val="5777D4F5"/>
    <w:rsid w:val="57A328B9"/>
    <w:rsid w:val="57F22B6F"/>
    <w:rsid w:val="583148E0"/>
    <w:rsid w:val="58F630F2"/>
    <w:rsid w:val="59DD8326"/>
    <w:rsid w:val="5A030A22"/>
    <w:rsid w:val="5A137ACB"/>
    <w:rsid w:val="5A386DE8"/>
    <w:rsid w:val="5A9F7293"/>
    <w:rsid w:val="5B295C3E"/>
    <w:rsid w:val="5B4D1E94"/>
    <w:rsid w:val="5BD26DC8"/>
    <w:rsid w:val="5C003935"/>
    <w:rsid w:val="5C007491"/>
    <w:rsid w:val="5C0276AD"/>
    <w:rsid w:val="5C225659"/>
    <w:rsid w:val="5C341831"/>
    <w:rsid w:val="5C7A5495"/>
    <w:rsid w:val="5C8A1451"/>
    <w:rsid w:val="5CCB5CF1"/>
    <w:rsid w:val="5D392F11"/>
    <w:rsid w:val="5D7243BE"/>
    <w:rsid w:val="5D9D7868"/>
    <w:rsid w:val="5DEF592A"/>
    <w:rsid w:val="5E9F7435"/>
    <w:rsid w:val="5EC7698C"/>
    <w:rsid w:val="5ECC4DE6"/>
    <w:rsid w:val="5F13572D"/>
    <w:rsid w:val="5F335DCF"/>
    <w:rsid w:val="5F585836"/>
    <w:rsid w:val="5FC6BB1E"/>
    <w:rsid w:val="5FF720F1"/>
    <w:rsid w:val="602D0A71"/>
    <w:rsid w:val="604F6C39"/>
    <w:rsid w:val="605E1DA9"/>
    <w:rsid w:val="606D70BF"/>
    <w:rsid w:val="60C82547"/>
    <w:rsid w:val="60F8107F"/>
    <w:rsid w:val="61336B56"/>
    <w:rsid w:val="61630BEE"/>
    <w:rsid w:val="61882403"/>
    <w:rsid w:val="622964C1"/>
    <w:rsid w:val="62BB2364"/>
    <w:rsid w:val="63302D52"/>
    <w:rsid w:val="635C3B47"/>
    <w:rsid w:val="641A755E"/>
    <w:rsid w:val="65284575"/>
    <w:rsid w:val="6569254B"/>
    <w:rsid w:val="663761A5"/>
    <w:rsid w:val="668626FE"/>
    <w:rsid w:val="66976C44"/>
    <w:rsid w:val="66A650D9"/>
    <w:rsid w:val="67184229"/>
    <w:rsid w:val="67982C74"/>
    <w:rsid w:val="67B14D62"/>
    <w:rsid w:val="67BE37C3"/>
    <w:rsid w:val="67FF5C0B"/>
    <w:rsid w:val="68064081"/>
    <w:rsid w:val="684921C0"/>
    <w:rsid w:val="684E77D6"/>
    <w:rsid w:val="688B4586"/>
    <w:rsid w:val="68F0088D"/>
    <w:rsid w:val="68F150EF"/>
    <w:rsid w:val="694F7CAA"/>
    <w:rsid w:val="69DF2DDC"/>
    <w:rsid w:val="6A154A4F"/>
    <w:rsid w:val="6A273835"/>
    <w:rsid w:val="6ABC0591"/>
    <w:rsid w:val="6B120F8F"/>
    <w:rsid w:val="6BAA4A2F"/>
    <w:rsid w:val="6C2471CC"/>
    <w:rsid w:val="6C382C77"/>
    <w:rsid w:val="6C6E0447"/>
    <w:rsid w:val="6CBE13CE"/>
    <w:rsid w:val="6D592EA5"/>
    <w:rsid w:val="6DDEC5C0"/>
    <w:rsid w:val="6DE13529"/>
    <w:rsid w:val="6E753AC9"/>
    <w:rsid w:val="6E810905"/>
    <w:rsid w:val="6E847CA4"/>
    <w:rsid w:val="6EFC0924"/>
    <w:rsid w:val="6F361AAD"/>
    <w:rsid w:val="6FA26D85"/>
    <w:rsid w:val="6FA32AFD"/>
    <w:rsid w:val="6FB74722"/>
    <w:rsid w:val="6FEF8B7E"/>
    <w:rsid w:val="70C10136"/>
    <w:rsid w:val="7104442C"/>
    <w:rsid w:val="71557E27"/>
    <w:rsid w:val="717FE77F"/>
    <w:rsid w:val="71A6591B"/>
    <w:rsid w:val="71BB44EC"/>
    <w:rsid w:val="72A72905"/>
    <w:rsid w:val="72C25048"/>
    <w:rsid w:val="7306762B"/>
    <w:rsid w:val="731A4E85"/>
    <w:rsid w:val="735C0437"/>
    <w:rsid w:val="737D59BA"/>
    <w:rsid w:val="737F32B1"/>
    <w:rsid w:val="73B40E35"/>
    <w:rsid w:val="73BD3FCA"/>
    <w:rsid w:val="73D414D7"/>
    <w:rsid w:val="73D43285"/>
    <w:rsid w:val="73E536E4"/>
    <w:rsid w:val="74363F40"/>
    <w:rsid w:val="74F02341"/>
    <w:rsid w:val="7552037B"/>
    <w:rsid w:val="75B96BD7"/>
    <w:rsid w:val="75D95F42"/>
    <w:rsid w:val="75DD6E29"/>
    <w:rsid w:val="761C6BDB"/>
    <w:rsid w:val="7645046A"/>
    <w:rsid w:val="764A5A81"/>
    <w:rsid w:val="76742AFE"/>
    <w:rsid w:val="76984A3E"/>
    <w:rsid w:val="769D2054"/>
    <w:rsid w:val="76B86E8E"/>
    <w:rsid w:val="76B9321E"/>
    <w:rsid w:val="776BDA01"/>
    <w:rsid w:val="77C37683"/>
    <w:rsid w:val="77F57C6E"/>
    <w:rsid w:val="78774B27"/>
    <w:rsid w:val="788B412F"/>
    <w:rsid w:val="78C25DA2"/>
    <w:rsid w:val="79766B8D"/>
    <w:rsid w:val="79E4367E"/>
    <w:rsid w:val="79FF515B"/>
    <w:rsid w:val="79FF6B82"/>
    <w:rsid w:val="7A5C3FD5"/>
    <w:rsid w:val="7AE069B4"/>
    <w:rsid w:val="7B6018A2"/>
    <w:rsid w:val="7BDD2EF3"/>
    <w:rsid w:val="7BE14791"/>
    <w:rsid w:val="7C07478C"/>
    <w:rsid w:val="7C26489A"/>
    <w:rsid w:val="7CCC5441"/>
    <w:rsid w:val="7D2E7EAA"/>
    <w:rsid w:val="7D6455EB"/>
    <w:rsid w:val="7DB06B11"/>
    <w:rsid w:val="7DF914EC"/>
    <w:rsid w:val="7DFBFF20"/>
    <w:rsid w:val="7E2D63B4"/>
    <w:rsid w:val="7E9E1962"/>
    <w:rsid w:val="7E9F11B4"/>
    <w:rsid w:val="7F37EC1E"/>
    <w:rsid w:val="7F482D79"/>
    <w:rsid w:val="7F631961"/>
    <w:rsid w:val="7F7C0DDA"/>
    <w:rsid w:val="7F7DCD9D"/>
    <w:rsid w:val="7F970A6F"/>
    <w:rsid w:val="7FC1FFF3"/>
    <w:rsid w:val="7FC69637"/>
    <w:rsid w:val="7FCE14D1"/>
    <w:rsid w:val="7FDF8620"/>
    <w:rsid w:val="7FFB242F"/>
    <w:rsid w:val="7FFDB408"/>
    <w:rsid w:val="7FFE4EEB"/>
    <w:rsid w:val="95FB2B98"/>
    <w:rsid w:val="9A639BC2"/>
    <w:rsid w:val="9FF7D786"/>
    <w:rsid w:val="ABBFB23D"/>
    <w:rsid w:val="B6BE5A03"/>
    <w:rsid w:val="B8C93228"/>
    <w:rsid w:val="C3B4DA5A"/>
    <w:rsid w:val="C4FF458C"/>
    <w:rsid w:val="C7BBD038"/>
    <w:rsid w:val="CBFF70E0"/>
    <w:rsid w:val="CFF50B82"/>
    <w:rsid w:val="CFFFAD89"/>
    <w:rsid w:val="DFFE359E"/>
    <w:rsid w:val="DFFE4FFD"/>
    <w:rsid w:val="DFFF5403"/>
    <w:rsid w:val="EBC3E00A"/>
    <w:rsid w:val="EDFBE100"/>
    <w:rsid w:val="EEABED75"/>
    <w:rsid w:val="EF7E8003"/>
    <w:rsid w:val="F56FDF51"/>
    <w:rsid w:val="F5F3EE78"/>
    <w:rsid w:val="F6B69F17"/>
    <w:rsid w:val="F6E5BB3A"/>
    <w:rsid w:val="F77F1D61"/>
    <w:rsid w:val="F7FED3A9"/>
    <w:rsid w:val="F8C9DB26"/>
    <w:rsid w:val="F97E8EAE"/>
    <w:rsid w:val="FB36E1A6"/>
    <w:rsid w:val="FB3BE134"/>
    <w:rsid w:val="FCFF4275"/>
    <w:rsid w:val="FD7FEEEA"/>
    <w:rsid w:val="FDFFB577"/>
    <w:rsid w:val="FEEA50FE"/>
    <w:rsid w:val="FF7D47A9"/>
    <w:rsid w:val="FFCF21CB"/>
    <w:rsid w:val="FFF94102"/>
    <w:rsid w:val="FFFF1C8B"/>
    <w:rsid w:val="FFFF74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semiHidden/>
    <w:qFormat/>
    <w:uiPriority w:val="0"/>
    <w:pPr>
      <w:snapToGrid w:val="0"/>
      <w:jc w:val="left"/>
    </w:pPr>
    <w:rPr>
      <w:sz w:val="18"/>
      <w:szCs w:val="18"/>
    </w:rPr>
  </w:style>
  <w:style w:type="paragraph" w:styleId="3">
    <w:name w:val="Body Text First Indent 2"/>
    <w:basedOn w:val="4"/>
    <w:next w:val="1"/>
    <w:unhideWhenUsed/>
    <w:qFormat/>
    <w:uiPriority w:val="99"/>
    <w:pPr>
      <w:ind w:firstLine="420" w:firstLineChars="200"/>
    </w:pPr>
  </w:style>
  <w:style w:type="paragraph" w:styleId="4">
    <w:name w:val="Body Text Indent"/>
    <w:basedOn w:val="1"/>
    <w:next w:val="3"/>
    <w:unhideWhenUsed/>
    <w:qFormat/>
    <w:uiPriority w:val="99"/>
    <w:pPr>
      <w:widowControl/>
      <w:spacing w:after="120"/>
      <w:ind w:left="420" w:leftChars="200"/>
      <w:jc w:val="left"/>
    </w:pPr>
    <w:rPr>
      <w:rFonts w:ascii="宋体" w:hAnsi="宋体" w:eastAsia="宋体" w:cs="宋体"/>
      <w:kern w:val="0"/>
      <w:sz w:val="24"/>
    </w:rPr>
  </w:style>
  <w:style w:type="paragraph" w:styleId="5">
    <w:name w:val="Balloon Text"/>
    <w:basedOn w:val="1"/>
    <w:link w:val="14"/>
    <w:semiHidden/>
    <w:unhideWhenUsed/>
    <w:qFormat/>
    <w:uiPriority w:val="99"/>
    <w:rPr>
      <w:sz w:val="18"/>
      <w:szCs w:val="18"/>
    </w:rPr>
  </w:style>
  <w:style w:type="paragraph" w:styleId="6">
    <w:name w:val="footer"/>
    <w:basedOn w:val="1"/>
    <w:link w:val="11"/>
    <w:unhideWhenUsed/>
    <w:qFormat/>
    <w:uiPriority w:val="99"/>
    <w:pPr>
      <w:tabs>
        <w:tab w:val="center" w:pos="4153"/>
        <w:tab w:val="right" w:pos="8306"/>
      </w:tabs>
      <w:snapToGrid w:val="0"/>
      <w:jc w:val="left"/>
    </w:pPr>
    <w:rPr>
      <w:sz w:val="18"/>
      <w:szCs w:val="18"/>
    </w:rPr>
  </w:style>
  <w:style w:type="paragraph" w:styleId="7">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0">
    <w:name w:val="页眉 Char"/>
    <w:basedOn w:val="9"/>
    <w:link w:val="7"/>
    <w:qFormat/>
    <w:uiPriority w:val="99"/>
    <w:rPr>
      <w:sz w:val="18"/>
      <w:szCs w:val="18"/>
    </w:rPr>
  </w:style>
  <w:style w:type="character" w:customStyle="1" w:styleId="11">
    <w:name w:val="页脚 Char"/>
    <w:basedOn w:val="9"/>
    <w:link w:val="6"/>
    <w:qFormat/>
    <w:uiPriority w:val="99"/>
    <w:rPr>
      <w:sz w:val="18"/>
      <w:szCs w:val="18"/>
    </w:rPr>
  </w:style>
  <w:style w:type="paragraph" w:customStyle="1" w:styleId="12">
    <w:name w:val="Default"/>
    <w:qFormat/>
    <w:uiPriority w:val="0"/>
    <w:pPr>
      <w:widowControl w:val="0"/>
      <w:autoSpaceDE w:val="0"/>
      <w:autoSpaceDN w:val="0"/>
      <w:adjustRightInd w:val="0"/>
    </w:pPr>
    <w:rPr>
      <w:rFonts w:ascii="黑体" w:eastAsia="黑体" w:cs="黑体" w:hAnsiTheme="minorHAnsi"/>
      <w:color w:val="000000"/>
      <w:kern w:val="0"/>
      <w:sz w:val="24"/>
      <w:szCs w:val="24"/>
      <w:lang w:val="en-US" w:eastAsia="zh-CN" w:bidi="ar-SA"/>
    </w:rPr>
  </w:style>
  <w:style w:type="paragraph" w:styleId="13">
    <w:name w:val="List Paragraph"/>
    <w:basedOn w:val="1"/>
    <w:qFormat/>
    <w:uiPriority w:val="34"/>
    <w:pPr>
      <w:ind w:firstLine="420" w:firstLineChars="200"/>
    </w:pPr>
  </w:style>
  <w:style w:type="character" w:customStyle="1" w:styleId="14">
    <w:name w:val="批注框文本 Char"/>
    <w:basedOn w:val="9"/>
    <w:link w:val="5"/>
    <w:semiHidden/>
    <w:qFormat/>
    <w:uiPriority w:val="99"/>
    <w:rPr>
      <w:sz w:val="18"/>
      <w:szCs w:val="18"/>
    </w:rPr>
  </w:style>
  <w:style w:type="character" w:customStyle="1" w:styleId="15">
    <w:name w:val="font01"/>
    <w:basedOn w:val="9"/>
    <w:qFormat/>
    <w:uiPriority w:val="0"/>
    <w:rPr>
      <w:rFonts w:hint="eastAsia" w:ascii="宋体" w:hAnsi="宋体" w:eastAsia="宋体" w:cs="宋体"/>
      <w:color w:val="000000"/>
      <w:sz w:val="22"/>
      <w:szCs w:val="22"/>
      <w:u w:val="none"/>
    </w:rPr>
  </w:style>
  <w:style w:type="character" w:customStyle="1" w:styleId="16">
    <w:name w:val="font21"/>
    <w:basedOn w:val="9"/>
    <w:qFormat/>
    <w:uiPriority w:val="0"/>
    <w:rPr>
      <w:rFonts w:hint="eastAsia" w:ascii="宋体" w:hAnsi="宋体" w:eastAsia="宋体" w:cs="宋体"/>
      <w:color w:val="000000"/>
      <w:sz w:val="24"/>
      <w:szCs w:val="24"/>
      <w:u w:val="none"/>
    </w:rPr>
  </w:style>
  <w:style w:type="character" w:customStyle="1" w:styleId="17">
    <w:name w:val="font11"/>
    <w:basedOn w:val="9"/>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18</Pages>
  <Words>7673</Words>
  <Characters>8284</Characters>
  <Lines>63</Lines>
  <Paragraphs>18</Paragraphs>
  <TotalTime>964</TotalTime>
  <ScaleCrop>false</ScaleCrop>
  <LinksUpToDate>false</LinksUpToDate>
  <CharactersWithSpaces>8317</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2020-07-10T18:32:00Z</dcterms:created>
  <dc:creator>李航 null</dc:creator>
  <cp:lastModifiedBy>lenovo</cp:lastModifiedBy>
  <cp:lastPrinted>2025-09-17T01:57:59Z</cp:lastPrinted>
  <dcterms:modified xsi:type="dcterms:W3CDTF">2025-09-19T01:10:28Z</dcterms:modified>
  <cp:revision>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98623D6660B449428EB8E073C6C952EA</vt:lpwstr>
  </property>
  <property fmtid="{D5CDD505-2E9C-101B-9397-08002B2CF9AE}" pid="4" name="KSOTemplateDocerSaveRecord">
    <vt:lpwstr>eyJoZGlkIjoiMGY3ZGQyZTNmMTBjNzBiMThhMTQyMzRmZDA3OGEyYmEifQ==</vt:lpwstr>
  </property>
</Properties>
</file>