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7C067E">
      <w:pPr>
        <w:spacing w:line="348" w:lineRule="auto"/>
        <w:rPr>
          <w:rFonts w:hint="default" w:ascii="黑体" w:hAnsi="黑体" w:eastAsia="黑体" w:cs="黑体"/>
          <w:bCs/>
          <w:sz w:val="32"/>
          <w:szCs w:val="32"/>
          <w:lang w:val="en-US"/>
        </w:rPr>
      </w:pPr>
      <w:r>
        <w:rPr>
          <w:rFonts w:hint="eastAsia" w:ascii="黑体" w:hAnsi="黑体" w:eastAsia="黑体" w:cs="黑体"/>
          <w:bCs/>
          <w:sz w:val="32"/>
          <w:szCs w:val="32"/>
        </w:rPr>
        <w:t>附</w:t>
      </w:r>
      <w:r>
        <w:rPr>
          <w:rFonts w:hint="eastAsia" w:ascii="黑体" w:hAnsi="黑体" w:eastAsia="黑体" w:cs="黑体"/>
          <w:bCs/>
          <w:sz w:val="32"/>
          <w:szCs w:val="32"/>
          <w:lang w:eastAsia="zh-CN"/>
        </w:rPr>
        <w:t>件</w:t>
      </w:r>
      <w:r>
        <w:rPr>
          <w:rFonts w:hint="eastAsia" w:ascii="黑体" w:hAnsi="黑体" w:eastAsia="黑体" w:cs="黑体"/>
          <w:bCs/>
          <w:sz w:val="32"/>
          <w:szCs w:val="32"/>
          <w:lang w:val="en-US" w:eastAsia="zh-CN"/>
        </w:rPr>
        <w:t>2</w:t>
      </w:r>
    </w:p>
    <w:p w14:paraId="6ABBC07C">
      <w:pPr>
        <w:spacing w:line="348" w:lineRule="auto"/>
        <w:jc w:val="center"/>
        <w:rPr>
          <w:rFonts w:hint="eastAsia" w:eastAsia="方正小标宋简体"/>
          <w:bCs/>
          <w:sz w:val="42"/>
          <w:szCs w:val="42"/>
        </w:rPr>
      </w:pPr>
    </w:p>
    <w:p w14:paraId="4B181F47">
      <w:pPr>
        <w:spacing w:line="800" w:lineRule="exact"/>
        <w:jc w:val="center"/>
        <w:rPr>
          <w:rFonts w:hint="eastAsia" w:eastAsia="方正小标宋简体"/>
          <w:bCs/>
          <w:sz w:val="46"/>
          <w:szCs w:val="46"/>
        </w:rPr>
      </w:pPr>
      <w:r>
        <w:rPr>
          <w:rFonts w:hint="eastAsia" w:eastAsia="方正小标宋简体"/>
          <w:bCs/>
          <w:sz w:val="46"/>
          <w:szCs w:val="46"/>
        </w:rPr>
        <w:t>岳阳市20</w:t>
      </w:r>
      <w:r>
        <w:rPr>
          <w:rFonts w:hint="eastAsia" w:eastAsia="方正小标宋简体"/>
          <w:bCs/>
          <w:sz w:val="46"/>
          <w:szCs w:val="46"/>
          <w:lang w:val="en-US" w:eastAsia="zh-CN"/>
        </w:rPr>
        <w:t>24</w:t>
      </w:r>
      <w:r>
        <w:rPr>
          <w:rFonts w:hint="eastAsia" w:eastAsia="方正小标宋简体"/>
          <w:bCs/>
          <w:sz w:val="46"/>
          <w:szCs w:val="46"/>
        </w:rPr>
        <w:t>年度部门整体支出</w:t>
      </w:r>
    </w:p>
    <w:p w14:paraId="601794C6">
      <w:pPr>
        <w:spacing w:line="800" w:lineRule="exact"/>
        <w:jc w:val="center"/>
        <w:rPr>
          <w:rFonts w:hint="eastAsia" w:eastAsia="方正小标宋简体"/>
          <w:bCs/>
          <w:sz w:val="46"/>
          <w:szCs w:val="46"/>
        </w:rPr>
      </w:pPr>
      <w:r>
        <w:rPr>
          <w:rFonts w:hint="eastAsia" w:eastAsia="方正小标宋简体"/>
          <w:bCs/>
          <w:sz w:val="46"/>
          <w:szCs w:val="46"/>
        </w:rPr>
        <w:t>绩效评价自评报告</w:t>
      </w:r>
    </w:p>
    <w:p w14:paraId="47A647CC">
      <w:pPr>
        <w:rPr>
          <w:rFonts w:hint="eastAsia" w:eastAsia="仿宋_GB2312"/>
          <w:b/>
          <w:sz w:val="32"/>
        </w:rPr>
      </w:pPr>
    </w:p>
    <w:p w14:paraId="4DFABE67">
      <w:pPr>
        <w:rPr>
          <w:rFonts w:hint="eastAsia" w:eastAsia="仿宋_GB2312"/>
          <w:b/>
          <w:sz w:val="32"/>
        </w:rPr>
      </w:pPr>
    </w:p>
    <w:p w14:paraId="06477B07">
      <w:pPr>
        <w:rPr>
          <w:rFonts w:hint="eastAsia" w:eastAsia="仿宋_GB2312"/>
          <w:b/>
          <w:sz w:val="32"/>
        </w:rPr>
      </w:pPr>
    </w:p>
    <w:p w14:paraId="71552F84">
      <w:pPr>
        <w:spacing w:before="301" w:beforeLines="50" w:line="348" w:lineRule="auto"/>
        <w:ind w:firstLine="476" w:firstLineChars="150"/>
        <w:rPr>
          <w:rFonts w:hint="eastAsia" w:eastAsia="仿宋_GB2312"/>
          <w:sz w:val="32"/>
          <w:szCs w:val="32"/>
          <w:u w:val="single"/>
        </w:rPr>
      </w:pPr>
      <w:r>
        <w:rPr>
          <w:rFonts w:hint="eastAsia" w:eastAsia="仿宋_GB2312"/>
          <w:sz w:val="32"/>
          <w:szCs w:val="32"/>
        </w:rPr>
        <w:t>部门(单位)名称：</w:t>
      </w:r>
      <w:r>
        <w:rPr>
          <w:rFonts w:hint="eastAsia" w:eastAsia="仿宋_GB2312"/>
          <w:sz w:val="32"/>
          <w:szCs w:val="32"/>
          <w:u w:val="single"/>
        </w:rPr>
        <w:t xml:space="preserve">     岳阳市人民医院                             </w:t>
      </w:r>
    </w:p>
    <w:p w14:paraId="4E6FA3A5">
      <w:pPr>
        <w:spacing w:before="301" w:beforeLines="50" w:line="348" w:lineRule="auto"/>
        <w:ind w:firstLine="476" w:firstLineChars="150"/>
        <w:rPr>
          <w:rFonts w:hint="eastAsia" w:eastAsia="仿宋_GB2312"/>
          <w:spacing w:val="20"/>
          <w:sz w:val="32"/>
          <w:szCs w:val="32"/>
        </w:rPr>
      </w:pPr>
      <w:r>
        <w:rPr>
          <w:rFonts w:hint="eastAsia" w:eastAsia="仿宋_GB2312"/>
          <w:sz w:val="32"/>
          <w:szCs w:val="32"/>
        </w:rPr>
        <w:t>预</w:t>
      </w:r>
      <w:r>
        <w:rPr>
          <w:rFonts w:hint="eastAsia" w:eastAsia="仿宋_GB2312"/>
          <w:spacing w:val="30"/>
          <w:sz w:val="32"/>
          <w:szCs w:val="32"/>
        </w:rPr>
        <w:t xml:space="preserve"> 算 编 码：</w:t>
      </w:r>
      <w:r>
        <w:rPr>
          <w:rFonts w:hint="eastAsia" w:eastAsia="仿宋_GB2312"/>
          <w:spacing w:val="20"/>
          <w:sz w:val="32"/>
          <w:szCs w:val="32"/>
          <w:u w:val="single"/>
        </w:rPr>
        <w:t xml:space="preserve">       </w:t>
      </w:r>
      <w:r>
        <w:rPr>
          <w:rFonts w:hint="eastAsia" w:eastAsia="仿宋_GB2312"/>
          <w:spacing w:val="20"/>
          <w:sz w:val="32"/>
          <w:szCs w:val="32"/>
          <w:u w:val="single"/>
          <w:lang w:val="en-US" w:eastAsia="zh-CN"/>
        </w:rPr>
        <w:t>402007</w:t>
      </w:r>
      <w:r>
        <w:rPr>
          <w:rFonts w:hint="eastAsia" w:eastAsia="仿宋_GB2312"/>
          <w:spacing w:val="20"/>
          <w:sz w:val="32"/>
          <w:szCs w:val="32"/>
          <w:u w:val="single"/>
        </w:rPr>
        <w:t xml:space="preserve">                    </w:t>
      </w:r>
    </w:p>
    <w:p w14:paraId="0122CAF4">
      <w:pPr>
        <w:spacing w:before="301" w:beforeLines="50" w:line="348" w:lineRule="auto"/>
        <w:ind w:firstLine="476" w:firstLineChars="150"/>
        <w:rPr>
          <w:rFonts w:hint="eastAsia" w:eastAsia="仿宋_GB2312"/>
          <w:sz w:val="32"/>
          <w:szCs w:val="32"/>
        </w:rPr>
      </w:pPr>
      <w:r>
        <w:rPr>
          <w:rFonts w:hint="eastAsia" w:eastAsia="仿宋_GB2312"/>
          <w:sz w:val="32"/>
          <w:szCs w:val="32"/>
        </w:rPr>
        <w:t>评价方式：部门（单位）绩效自评</w:t>
      </w:r>
    </w:p>
    <w:p w14:paraId="13D4F03E">
      <w:pPr>
        <w:spacing w:before="301" w:beforeLines="50" w:line="348" w:lineRule="auto"/>
        <w:ind w:firstLine="476" w:firstLineChars="150"/>
        <w:rPr>
          <w:rFonts w:hint="eastAsia" w:eastAsia="仿宋_GB2312"/>
          <w:sz w:val="32"/>
          <w:szCs w:val="32"/>
        </w:rPr>
      </w:pPr>
      <w:r>
        <w:rPr>
          <w:rFonts w:hint="eastAsia" w:eastAsia="仿宋_GB2312"/>
          <w:sz w:val="32"/>
          <w:szCs w:val="32"/>
        </w:rPr>
        <w:t xml:space="preserve">评价机构：部门（单位）评价组   </w:t>
      </w:r>
    </w:p>
    <w:p w14:paraId="5BE4D572">
      <w:pPr>
        <w:spacing w:line="720" w:lineRule="exact"/>
        <w:ind w:firstLine="2188" w:firstLineChars="690"/>
        <w:rPr>
          <w:rFonts w:hint="eastAsia" w:eastAsia="仿宋_GB2312"/>
          <w:sz w:val="32"/>
        </w:rPr>
      </w:pPr>
    </w:p>
    <w:p w14:paraId="1F43D23D">
      <w:pPr>
        <w:spacing w:line="720" w:lineRule="exact"/>
        <w:ind w:firstLine="2188" w:firstLineChars="690"/>
        <w:rPr>
          <w:rFonts w:hint="eastAsia" w:eastAsia="仿宋_GB2312"/>
          <w:sz w:val="32"/>
        </w:rPr>
      </w:pPr>
    </w:p>
    <w:p w14:paraId="766CD0C6">
      <w:pPr>
        <w:spacing w:line="720" w:lineRule="exact"/>
        <w:ind w:firstLine="2188" w:firstLineChars="690"/>
        <w:rPr>
          <w:rFonts w:hint="eastAsia" w:eastAsia="仿宋_GB2312"/>
          <w:sz w:val="32"/>
        </w:rPr>
      </w:pPr>
      <w:bookmarkStart w:id="0" w:name="_GoBack"/>
      <w:bookmarkEnd w:id="0"/>
    </w:p>
    <w:p w14:paraId="3D364080">
      <w:pPr>
        <w:spacing w:line="348" w:lineRule="auto"/>
        <w:jc w:val="center"/>
        <w:rPr>
          <w:rFonts w:hint="eastAsia" w:eastAsia="仿宋_GB2312"/>
          <w:sz w:val="32"/>
        </w:rPr>
      </w:pPr>
      <w:r>
        <w:rPr>
          <w:rFonts w:hint="eastAsia" w:eastAsia="仿宋_GB2312"/>
          <w:sz w:val="32"/>
        </w:rPr>
        <w:t>报告日期：202</w:t>
      </w:r>
      <w:r>
        <w:rPr>
          <w:rFonts w:hint="eastAsia" w:eastAsia="仿宋_GB2312"/>
          <w:sz w:val="32"/>
          <w:lang w:val="en-US" w:eastAsia="zh-CN"/>
        </w:rPr>
        <w:t>5</w:t>
      </w:r>
      <w:r>
        <w:rPr>
          <w:rFonts w:hint="eastAsia" w:eastAsia="仿宋_GB2312"/>
          <w:sz w:val="32"/>
        </w:rPr>
        <w:t>年 0</w:t>
      </w:r>
      <w:r>
        <w:rPr>
          <w:rFonts w:hint="eastAsia" w:eastAsia="仿宋_GB2312"/>
          <w:sz w:val="32"/>
          <w:lang w:val="en-US" w:eastAsia="zh-CN"/>
        </w:rPr>
        <w:t>9</w:t>
      </w:r>
      <w:r>
        <w:rPr>
          <w:rFonts w:hint="eastAsia" w:eastAsia="仿宋_GB2312"/>
          <w:sz w:val="32"/>
        </w:rPr>
        <w:t>月</w:t>
      </w:r>
      <w:r>
        <w:rPr>
          <w:rFonts w:hint="eastAsia" w:eastAsia="仿宋_GB2312"/>
          <w:sz w:val="32"/>
          <w:lang w:val="en-US" w:eastAsia="zh-CN"/>
        </w:rPr>
        <w:t>24</w:t>
      </w:r>
      <w:r>
        <w:rPr>
          <w:rFonts w:hint="eastAsia" w:eastAsia="仿宋_GB2312"/>
          <w:sz w:val="32"/>
        </w:rPr>
        <w:t>日</w:t>
      </w:r>
    </w:p>
    <w:p w14:paraId="1BA27B37">
      <w:pPr>
        <w:autoSpaceDN w:val="0"/>
        <w:jc w:val="center"/>
        <w:textAlignment w:val="center"/>
        <w:rPr>
          <w:rFonts w:hint="eastAsia" w:eastAsia="仿宋_GB2312"/>
          <w:sz w:val="32"/>
          <w:szCs w:val="32"/>
        </w:rPr>
        <w:sectPr>
          <w:pgSz w:w="11906" w:h="16838"/>
          <w:pgMar w:top="1588" w:right="1588" w:bottom="1588" w:left="1588" w:header="851" w:footer="992" w:gutter="0"/>
          <w:pgNumType w:start="1"/>
          <w:cols w:space="720" w:num="1"/>
          <w:docGrid w:type="linesAndChars" w:linePitch="602" w:charSpace="-782"/>
        </w:sectPr>
      </w:pPr>
      <w:r>
        <w:rPr>
          <w:rFonts w:hint="eastAsia" w:eastAsia="仿宋_GB2312"/>
          <w:sz w:val="32"/>
        </w:rPr>
        <w:t>岳阳市财政</w:t>
      </w:r>
      <w:r>
        <w:rPr>
          <w:rFonts w:hint="eastAsia" w:eastAsia="仿宋_GB2312"/>
          <w:sz w:val="32"/>
          <w:szCs w:val="32"/>
        </w:rPr>
        <w:t>局（制）</w:t>
      </w:r>
    </w:p>
    <w:tbl>
      <w:tblPr>
        <w:tblStyle w:val="9"/>
        <w:tblW w:w="98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
      <w:tblGrid>
        <w:gridCol w:w="1654"/>
        <w:gridCol w:w="46"/>
        <w:gridCol w:w="40"/>
        <w:gridCol w:w="1134"/>
        <w:gridCol w:w="116"/>
        <w:gridCol w:w="1145"/>
        <w:gridCol w:w="272"/>
        <w:gridCol w:w="808"/>
        <w:gridCol w:w="1479"/>
        <w:gridCol w:w="226"/>
        <w:gridCol w:w="196"/>
        <w:gridCol w:w="259"/>
        <w:gridCol w:w="1080"/>
        <w:gridCol w:w="265"/>
        <w:gridCol w:w="139"/>
        <w:gridCol w:w="316"/>
        <w:gridCol w:w="625"/>
      </w:tblGrid>
      <w:tr w14:paraId="56FAE7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800" w:type="dxa"/>
            <w:gridSpan w:val="17"/>
            <w:noWrap w:val="0"/>
            <w:vAlign w:val="center"/>
          </w:tcPr>
          <w:p w14:paraId="76C71A10">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一、部门（单位）基本概况</w:t>
            </w:r>
          </w:p>
        </w:tc>
      </w:tr>
      <w:tr w14:paraId="760BF4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noWrap w:val="0"/>
            <w:vAlign w:val="center"/>
          </w:tcPr>
          <w:p w14:paraId="2F44ECEF">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联系人</w:t>
            </w:r>
          </w:p>
        </w:tc>
        <w:tc>
          <w:tcPr>
            <w:tcW w:w="3561" w:type="dxa"/>
            <w:gridSpan w:val="7"/>
            <w:noWrap w:val="0"/>
            <w:vAlign w:val="center"/>
          </w:tcPr>
          <w:p w14:paraId="39F6BDEC">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谢宇琪</w:t>
            </w:r>
          </w:p>
        </w:tc>
        <w:tc>
          <w:tcPr>
            <w:tcW w:w="1479" w:type="dxa"/>
            <w:noWrap w:val="0"/>
            <w:vAlign w:val="center"/>
          </w:tcPr>
          <w:p w14:paraId="729D4FA8">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联络电话</w:t>
            </w:r>
          </w:p>
        </w:tc>
        <w:tc>
          <w:tcPr>
            <w:tcW w:w="3106" w:type="dxa"/>
            <w:gridSpan w:val="8"/>
            <w:noWrap w:val="0"/>
            <w:vAlign w:val="center"/>
          </w:tcPr>
          <w:p w14:paraId="5F5C3D8C">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07308713603</w:t>
            </w:r>
          </w:p>
        </w:tc>
      </w:tr>
      <w:tr w14:paraId="27C4DF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noWrap w:val="0"/>
            <w:vAlign w:val="center"/>
          </w:tcPr>
          <w:p w14:paraId="71299A66">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人员编制</w:t>
            </w:r>
          </w:p>
        </w:tc>
        <w:tc>
          <w:tcPr>
            <w:tcW w:w="3561" w:type="dxa"/>
            <w:gridSpan w:val="7"/>
            <w:noWrap w:val="0"/>
            <w:vAlign w:val="center"/>
          </w:tcPr>
          <w:p w14:paraId="41B45E28">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538</w:t>
            </w:r>
          </w:p>
        </w:tc>
        <w:tc>
          <w:tcPr>
            <w:tcW w:w="1479" w:type="dxa"/>
            <w:noWrap w:val="0"/>
            <w:vAlign w:val="center"/>
          </w:tcPr>
          <w:p w14:paraId="769ADD8B">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实有人数</w:t>
            </w:r>
          </w:p>
        </w:tc>
        <w:tc>
          <w:tcPr>
            <w:tcW w:w="3106" w:type="dxa"/>
            <w:gridSpan w:val="8"/>
            <w:noWrap w:val="0"/>
            <w:vAlign w:val="center"/>
          </w:tcPr>
          <w:p w14:paraId="7C1ABAD6">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1869</w:t>
            </w:r>
          </w:p>
        </w:tc>
      </w:tr>
      <w:tr w14:paraId="28DAB1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500" w:hRule="atLeast"/>
          <w:jc w:val="center"/>
        </w:trPr>
        <w:tc>
          <w:tcPr>
            <w:tcW w:w="1654" w:type="dxa"/>
            <w:noWrap w:val="0"/>
            <w:vAlign w:val="center"/>
          </w:tcPr>
          <w:p w14:paraId="2896A64E">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职能职责概述</w:t>
            </w:r>
          </w:p>
        </w:tc>
        <w:tc>
          <w:tcPr>
            <w:tcW w:w="8146" w:type="dxa"/>
            <w:gridSpan w:val="16"/>
            <w:noWrap w:val="0"/>
            <w:vAlign w:val="center"/>
          </w:tcPr>
          <w:p w14:paraId="32B2399F">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主要工作职责：</w:t>
            </w:r>
          </w:p>
          <w:p w14:paraId="603DD4C3">
            <w:pPr>
              <w:numPr>
                <w:ilvl w:val="0"/>
                <w:numId w:val="1"/>
              </w:num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承担疾病防治、救死扶伤、健康检查等工作。</w:t>
            </w:r>
          </w:p>
          <w:p w14:paraId="0501AD0E">
            <w:pPr>
              <w:numPr>
                <w:ilvl w:val="0"/>
                <w:numId w:val="1"/>
              </w:num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负责市区医疗、保健及湘北地区疑难病例会诊工作。</w:t>
            </w:r>
          </w:p>
          <w:p w14:paraId="15642C9E">
            <w:pPr>
              <w:numPr>
                <w:ilvl w:val="0"/>
                <w:numId w:val="1"/>
              </w:num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负责实习带教以及临床科研工作。</w:t>
            </w:r>
          </w:p>
          <w:p w14:paraId="5AABC97E">
            <w:pPr>
              <w:numPr>
                <w:ilvl w:val="0"/>
                <w:numId w:val="1"/>
              </w:num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完成上级主管部门交办的各项工作</w:t>
            </w:r>
            <w:r>
              <w:rPr>
                <w:rFonts w:hint="eastAsia" w:ascii="仿宋_GB2312" w:hAnsi="仿宋_GB2312" w:eastAsia="仿宋_GB2312" w:cs="仿宋_GB2312"/>
                <w:color w:val="000000"/>
                <w:sz w:val="24"/>
                <w:lang w:eastAsia="zh-CN"/>
              </w:rPr>
              <w:t>。</w:t>
            </w:r>
          </w:p>
        </w:tc>
      </w:tr>
      <w:tr w14:paraId="6DF967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464" w:hRule="atLeast"/>
          <w:jc w:val="center"/>
        </w:trPr>
        <w:tc>
          <w:tcPr>
            <w:tcW w:w="1654" w:type="dxa"/>
            <w:noWrap w:val="0"/>
            <w:vAlign w:val="center"/>
          </w:tcPr>
          <w:p w14:paraId="02168703">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年度主要</w:t>
            </w:r>
          </w:p>
          <w:p w14:paraId="340A2ABB">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工作内容</w:t>
            </w:r>
          </w:p>
        </w:tc>
        <w:tc>
          <w:tcPr>
            <w:tcW w:w="8146" w:type="dxa"/>
            <w:gridSpan w:val="16"/>
            <w:noWrap w:val="0"/>
            <w:vAlign w:val="center"/>
          </w:tcPr>
          <w:p w14:paraId="3356E6BD">
            <w:pPr>
              <w:numPr>
                <w:ilvl w:val="0"/>
                <w:numId w:val="2"/>
              </w:numPr>
              <w:autoSpaceDN w:val="0"/>
              <w:spacing w:line="320" w:lineRule="exact"/>
              <w:textAlignment w:val="center"/>
              <w:rPr>
                <w:rFonts w:hint="eastAsia" w:ascii="仿宋_GB2312" w:hAnsi="仿宋_GB2312" w:eastAsia="仿宋_GB2312" w:cs="仿宋_GB2312"/>
                <w:color w:val="000000"/>
                <w:sz w:val="24"/>
              </w:rPr>
            </w:pPr>
            <w:r>
              <w:rPr>
                <w:rFonts w:hint="eastAsia" w:ascii="仿宋_GB2312" w:hAnsi="仿宋" w:eastAsia="仿宋_GB2312" w:cs="仿宋"/>
                <w:sz w:val="24"/>
                <w:szCs w:val="24"/>
              </w:rPr>
              <w:t>成功申报13个省级临床重点建设专科，学科建设开创新局面</w:t>
            </w:r>
            <w:r>
              <w:rPr>
                <w:rFonts w:hint="eastAsia" w:ascii="仿宋_GB2312" w:hAnsi="仿宋" w:eastAsia="仿宋_GB2312" w:cs="仿宋"/>
                <w:color w:val="000000"/>
                <w:kern w:val="0"/>
                <w:sz w:val="24"/>
              </w:rPr>
              <w:t>。</w:t>
            </w:r>
          </w:p>
          <w:p w14:paraId="66FF4FB9">
            <w:pPr>
              <w:widowControl/>
              <w:numPr>
                <w:ilvl w:val="0"/>
                <w:numId w:val="2"/>
              </w:numPr>
              <w:autoSpaceDN w:val="0"/>
              <w:spacing w:line="320" w:lineRule="exact"/>
              <w:textAlignment w:val="center"/>
              <w:rPr>
                <w:rFonts w:hint="eastAsia" w:ascii="仿宋_GB2312" w:hAnsi="仿宋_GB2312" w:eastAsia="仿宋_GB2312" w:cs="仿宋_GB2312"/>
                <w:b w:val="0"/>
                <w:bCs w:val="0"/>
                <w:color w:val="000000"/>
                <w:sz w:val="24"/>
                <w:szCs w:val="24"/>
              </w:rPr>
            </w:pPr>
            <w:r>
              <w:rPr>
                <w:rFonts w:hint="eastAsia" w:ascii="仿宋_GB2312" w:hAnsi="仿宋" w:eastAsia="仿宋_GB2312" w:cs="仿宋"/>
                <w:b w:val="0"/>
                <w:bCs w:val="0"/>
                <w:sz w:val="24"/>
                <w:szCs w:val="24"/>
              </w:rPr>
              <w:t>智慧医院建设全面实施。</w:t>
            </w:r>
          </w:p>
          <w:p w14:paraId="40FB9A4E">
            <w:pPr>
              <w:widowControl/>
              <w:numPr>
                <w:ilvl w:val="0"/>
                <w:numId w:val="2"/>
              </w:numPr>
              <w:autoSpaceDN w:val="0"/>
              <w:spacing w:line="320" w:lineRule="exact"/>
              <w:textAlignment w:val="center"/>
              <w:rPr>
                <w:rFonts w:hint="eastAsia" w:ascii="仿宋_GB2312" w:hAnsi="仿宋_GB2312" w:eastAsia="仿宋_GB2312" w:cs="仿宋_GB2312"/>
                <w:color w:val="000000"/>
                <w:sz w:val="24"/>
                <w:szCs w:val="24"/>
              </w:rPr>
            </w:pPr>
            <w:r>
              <w:rPr>
                <w:rFonts w:hint="eastAsia" w:ascii="仿宋_GB2312" w:hAnsi="仿宋" w:eastAsia="仿宋_GB2312" w:cs="仿宋"/>
                <w:b w:val="0"/>
                <w:bCs w:val="0"/>
                <w:color w:val="000000"/>
                <w:sz w:val="24"/>
                <w:szCs w:val="24"/>
              </w:rPr>
              <w:t>成本管理更加严谨</w:t>
            </w:r>
            <w:r>
              <w:rPr>
                <w:rFonts w:hint="eastAsia" w:ascii="仿宋_GB2312" w:hAnsi="仿宋" w:eastAsia="仿宋_GB2312" w:cs="仿宋"/>
                <w:bCs/>
                <w:color w:val="000000"/>
                <w:kern w:val="0"/>
                <w:sz w:val="24"/>
              </w:rPr>
              <w:t>。</w:t>
            </w:r>
          </w:p>
          <w:p w14:paraId="77F3E8F6">
            <w:pPr>
              <w:widowControl/>
              <w:numPr>
                <w:ilvl w:val="0"/>
                <w:numId w:val="2"/>
              </w:numPr>
              <w:autoSpaceDN w:val="0"/>
              <w:spacing w:line="320" w:lineRule="exact"/>
              <w:textAlignment w:val="center"/>
              <w:rPr>
                <w:rFonts w:hint="eastAsia" w:ascii="仿宋_GB2312" w:hAnsi="仿宋_GB2312" w:eastAsia="仿宋_GB2312" w:cs="仿宋_GB2312"/>
                <w:color w:val="000000"/>
                <w:sz w:val="24"/>
              </w:rPr>
            </w:pPr>
            <w:r>
              <w:rPr>
                <w:rFonts w:hint="eastAsia" w:ascii="仿宋_GB2312" w:hAnsi="仿宋" w:eastAsia="仿宋_GB2312" w:cs="仿宋"/>
                <w:bCs/>
                <w:color w:val="000000"/>
                <w:kern w:val="0"/>
                <w:sz w:val="24"/>
                <w:lang w:eastAsia="zh-CN"/>
              </w:rPr>
              <w:t>推进精益管理，提高工作效率</w:t>
            </w:r>
            <w:r>
              <w:rPr>
                <w:rFonts w:hint="eastAsia" w:ascii="仿宋_GB2312" w:hAnsi="仿宋" w:eastAsia="仿宋_GB2312" w:cs="仿宋"/>
                <w:bCs/>
                <w:color w:val="000000"/>
                <w:kern w:val="0"/>
                <w:sz w:val="24"/>
              </w:rPr>
              <w:t>。</w:t>
            </w:r>
          </w:p>
          <w:p w14:paraId="20F3A409">
            <w:pPr>
              <w:widowControl/>
              <w:numPr>
                <w:ilvl w:val="0"/>
                <w:numId w:val="2"/>
              </w:numPr>
              <w:autoSpaceDN w:val="0"/>
              <w:spacing w:line="320" w:lineRule="exact"/>
              <w:textAlignment w:val="center"/>
              <w:rPr>
                <w:rFonts w:hint="eastAsia" w:ascii="仿宋_GB2312" w:hAnsi="仿宋_GB2312" w:eastAsia="仿宋_GB2312" w:cs="仿宋_GB2312"/>
                <w:color w:val="000000"/>
                <w:sz w:val="24"/>
              </w:rPr>
            </w:pPr>
            <w:r>
              <w:rPr>
                <w:rFonts w:hint="eastAsia" w:ascii="仿宋_GB2312" w:hAnsi="仿宋" w:eastAsia="仿宋_GB2312" w:cs="仿宋"/>
                <w:bCs/>
                <w:color w:val="000000"/>
                <w:kern w:val="0"/>
                <w:sz w:val="24"/>
                <w:lang w:eastAsia="zh-CN"/>
              </w:rPr>
              <w:t>切实做好三级医院绩效考核工作</w:t>
            </w:r>
            <w:r>
              <w:rPr>
                <w:rFonts w:hint="eastAsia" w:ascii="仿宋_GB2312" w:hAnsi="仿宋" w:eastAsia="仿宋_GB2312" w:cs="仿宋"/>
                <w:bCs/>
                <w:color w:val="000000"/>
                <w:kern w:val="0"/>
                <w:sz w:val="24"/>
              </w:rPr>
              <w:t>。</w:t>
            </w:r>
          </w:p>
          <w:p w14:paraId="2C3DD48B">
            <w:pPr>
              <w:widowControl/>
              <w:numPr>
                <w:ilvl w:val="0"/>
                <w:numId w:val="2"/>
              </w:numPr>
              <w:autoSpaceDN w:val="0"/>
              <w:spacing w:line="320" w:lineRule="exact"/>
              <w:textAlignment w:val="center"/>
              <w:rPr>
                <w:rFonts w:hint="eastAsia" w:ascii="仿宋_GB2312" w:hAnsi="仿宋_GB2312" w:eastAsia="仿宋_GB2312" w:cs="仿宋_GB2312"/>
                <w:color w:val="000000"/>
                <w:sz w:val="24"/>
              </w:rPr>
            </w:pPr>
            <w:r>
              <w:rPr>
                <w:rFonts w:hint="eastAsia" w:ascii="仿宋_GB2312" w:hAnsi="仿宋" w:eastAsia="仿宋_GB2312" w:cs="仿宋"/>
                <w:bCs/>
                <w:color w:val="000000"/>
                <w:kern w:val="0"/>
                <w:sz w:val="24"/>
                <w:lang w:eastAsia="zh-CN"/>
              </w:rPr>
              <w:t>优化工作流程，提升服务水平</w:t>
            </w:r>
            <w:r>
              <w:rPr>
                <w:rFonts w:hint="eastAsia" w:ascii="仿宋_GB2312" w:hAnsi="仿宋" w:eastAsia="仿宋_GB2312" w:cs="仿宋"/>
                <w:bCs/>
                <w:color w:val="000000"/>
                <w:kern w:val="0"/>
                <w:sz w:val="24"/>
              </w:rPr>
              <w:t xml:space="preserve">。 </w:t>
            </w:r>
          </w:p>
          <w:p w14:paraId="545A7DC6">
            <w:pPr>
              <w:widowControl/>
              <w:numPr>
                <w:ilvl w:val="0"/>
                <w:numId w:val="2"/>
              </w:numPr>
              <w:autoSpaceDN w:val="0"/>
              <w:spacing w:line="320" w:lineRule="exact"/>
              <w:textAlignment w:val="center"/>
              <w:rPr>
                <w:rFonts w:hint="eastAsia" w:ascii="仿宋_GB2312" w:hAnsi="仿宋_GB2312" w:eastAsia="仿宋_GB2312" w:cs="仿宋_GB2312"/>
                <w:color w:val="000000"/>
                <w:sz w:val="24"/>
              </w:rPr>
            </w:pPr>
            <w:r>
              <w:rPr>
                <w:rFonts w:hint="eastAsia" w:ascii="仿宋_GB2312" w:hAnsi="仿宋" w:eastAsia="仿宋_GB2312" w:cs="仿宋"/>
                <w:bCs/>
                <w:color w:val="000000"/>
                <w:kern w:val="0"/>
                <w:sz w:val="24"/>
                <w:lang w:eastAsia="zh-CN"/>
              </w:rPr>
              <w:t>经济运营稳健发展</w:t>
            </w:r>
            <w:r>
              <w:rPr>
                <w:rFonts w:hint="eastAsia" w:ascii="仿宋_GB2312" w:hAnsi="仿宋" w:eastAsia="仿宋_GB2312" w:cs="仿宋"/>
                <w:bCs/>
                <w:color w:val="000000"/>
                <w:kern w:val="0"/>
                <w:sz w:val="24"/>
              </w:rPr>
              <w:t>。</w:t>
            </w:r>
          </w:p>
          <w:p w14:paraId="2A4C367E">
            <w:pPr>
              <w:widowControl/>
              <w:numPr>
                <w:ilvl w:val="0"/>
                <w:numId w:val="2"/>
              </w:numPr>
              <w:autoSpaceDN w:val="0"/>
              <w:spacing w:line="320" w:lineRule="exact"/>
              <w:textAlignment w:val="center"/>
              <w:rPr>
                <w:rFonts w:hint="eastAsia" w:ascii="仿宋_GB2312" w:hAnsi="仿宋_GB2312" w:eastAsia="仿宋_GB2312" w:cs="仿宋_GB2312"/>
                <w:color w:val="000000"/>
                <w:sz w:val="24"/>
              </w:rPr>
            </w:pPr>
            <w:r>
              <w:rPr>
                <w:rFonts w:hint="eastAsia" w:ascii="仿宋_GB2312" w:hAnsi="仿宋" w:eastAsia="仿宋_GB2312" w:cs="仿宋"/>
                <w:bCs/>
                <w:color w:val="000000"/>
                <w:kern w:val="0"/>
                <w:sz w:val="24"/>
              </w:rPr>
              <w:t>深入开展行业作风专项整治工作。</w:t>
            </w:r>
          </w:p>
          <w:p w14:paraId="64A90E6F">
            <w:pPr>
              <w:widowControl/>
              <w:autoSpaceDN w:val="0"/>
              <w:spacing w:line="320" w:lineRule="exact"/>
              <w:ind w:left="420"/>
              <w:textAlignment w:val="center"/>
              <w:rPr>
                <w:rFonts w:hint="eastAsia" w:ascii="仿宋_GB2312" w:hAnsi="仿宋_GB2312" w:eastAsia="仿宋_GB2312" w:cs="仿宋_GB2312"/>
                <w:color w:val="000000"/>
                <w:sz w:val="24"/>
              </w:rPr>
            </w:pPr>
          </w:p>
          <w:p w14:paraId="4F64695E">
            <w:pPr>
              <w:widowControl/>
              <w:spacing w:line="560" w:lineRule="exact"/>
              <w:ind w:firstLine="480" w:firstLineChars="200"/>
              <w:rPr>
                <w:rFonts w:hint="eastAsia" w:ascii="仿宋_GB2312" w:hAnsi="仿宋_GB2312" w:eastAsia="仿宋_GB2312" w:cs="仿宋_GB2312"/>
                <w:color w:val="000000"/>
                <w:sz w:val="24"/>
              </w:rPr>
            </w:pPr>
          </w:p>
        </w:tc>
      </w:tr>
      <w:tr w14:paraId="517643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2" w:hRule="atLeast"/>
          <w:jc w:val="center"/>
        </w:trPr>
        <w:tc>
          <w:tcPr>
            <w:tcW w:w="1654" w:type="dxa"/>
            <w:noWrap w:val="0"/>
            <w:vAlign w:val="center"/>
          </w:tcPr>
          <w:p w14:paraId="15D5D872">
            <w:pPr>
              <w:autoSpaceDN w:val="0"/>
              <w:spacing w:line="320" w:lineRule="exact"/>
              <w:jc w:val="center"/>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年度部门（单位）总体运行情况及取得的成绩</w:t>
            </w:r>
          </w:p>
        </w:tc>
        <w:tc>
          <w:tcPr>
            <w:tcW w:w="8146" w:type="dxa"/>
            <w:gridSpan w:val="16"/>
            <w:noWrap w:val="0"/>
            <w:vAlign w:val="center"/>
          </w:tcPr>
          <w:p w14:paraId="5AF77179">
            <w:pPr>
              <w:autoSpaceDN w:val="0"/>
              <w:spacing w:line="320" w:lineRule="exact"/>
              <w:jc w:val="left"/>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2024年，我院在市委市政府和市卫健委的坚强领导下，全面贯彻党的二十大及二十届三中全会精神，不断夯实医疗质量，提升服务水平，深化医院改革，紧扣年度目标任务，有序推进各项工作，取得了一定的成绩：</w:t>
            </w:r>
          </w:p>
          <w:p w14:paraId="61C91D53">
            <w:pPr>
              <w:autoSpaceDN w:val="0"/>
              <w:spacing w:line="320" w:lineRule="exact"/>
              <w:jc w:val="left"/>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全年共接诊门急诊病人 69.3万人次，较去年同期增长 3.49%；出院病人 6.81 万人次，较去年同期增长 4.36%；手术1.92万台次，较去年同期增长6.62%；平均住院日7.3天，较去年同期缩短1.4天；C、D型病例占比86.14%，同比增长8.93%；病床使用率93.12%,同比增长5.67%。</w:t>
            </w:r>
          </w:p>
          <w:p w14:paraId="7E117562">
            <w:pPr>
              <w:autoSpaceDN w:val="0"/>
              <w:spacing w:line="320" w:lineRule="exact"/>
              <w:jc w:val="left"/>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lang w:eastAsia="zh-CN"/>
              </w:rPr>
              <w:t>一、</w:t>
            </w:r>
            <w:r>
              <w:rPr>
                <w:rFonts w:hint="eastAsia" w:ascii="仿宋_GB2312" w:hAnsi="仿宋_GB2312" w:eastAsia="仿宋_GB2312" w:cs="仿宋_GB2312"/>
                <w:color w:val="000000"/>
                <w:spacing w:val="-6"/>
                <w:sz w:val="24"/>
              </w:rPr>
              <w:t>医疗质量持续提升</w:t>
            </w:r>
          </w:p>
          <w:p w14:paraId="7ED1244A">
            <w:pPr>
              <w:autoSpaceDN w:val="0"/>
              <w:spacing w:line="320" w:lineRule="exact"/>
              <w:jc w:val="left"/>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1）.大力推进临床重点学科建设。院长亲自主导，成立学科办，制定医院学科发展纲要，多次组织召开重点专科建设评估汇报会、重点学科建设研讨推进会，进一步强化学科建设顶层设计，凝聚全院学科建设合力。对照国家和省级重点专科建设标准，细化工作目标和职责分工，明确工作任务与时间表，强化工作督导与绩效考核，推进学科建设迈上新台阶。</w:t>
            </w:r>
          </w:p>
          <w:p w14:paraId="386A161B">
            <w:pPr>
              <w:autoSpaceDN w:val="0"/>
              <w:spacing w:line="320" w:lineRule="exact"/>
              <w:jc w:val="left"/>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2）.扎实开展“全面提升医疗质量三年行动”。一是成立工作专班，明确年度工作主题，每月召开专门会议推进工作。二是成立质控中心管理委员会，制定相关工作方案，新增麻醉、VTE规范化防治、妇科内镜等3个市级质控中心，予以17个挂靠医院的质控中心每年各8万元工作经费，面向全市开展规范化培训13场次，切实推动区域医疗协同发展。三是制定《病历内涵质量提升三年行动实施方案》，定期开展死亡病历质控、优秀病历评选，7份病案获“市级十佳病案”，4份病案获“市级优秀病案”1份病案获省级“百佳病案”。四是院级专家指导科室开展死亡病例讨论，每月形成死亡病例质控总结，全院通报警示，持续改进。医院被省卫健委确定为全省公立医院高质量发展示范性医院建设单位。</w:t>
            </w:r>
          </w:p>
          <w:p w14:paraId="58DEE0F3">
            <w:pPr>
              <w:autoSpaceDN w:val="0"/>
              <w:spacing w:line="320" w:lineRule="exact"/>
              <w:jc w:val="left"/>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3）.全面开展手术精益管理年活动。围绕《2024年国家医疗质量安全改进目标》，扎实推进手术质量安全提升行动，进一步完善手术相关管理制度，规范手术授权，定期开展手术质量安全督导。制定急诊手术绿色通道管理流程，明确各科室职责，做到责权明晰，诊疗规范。成功举办医院第一届规范化手术病例大赛，38位选手同台竞技，在全院掀起以赛促进、全面提升手术质量的热潮。全院开展手术规范化演示6场，开展临床新技术项目57项，3项新技术荣获市级“十大新技术奖”。</w:t>
            </w:r>
          </w:p>
          <w:p w14:paraId="7968ADA1">
            <w:pPr>
              <w:autoSpaceDN w:val="0"/>
              <w:spacing w:line="320" w:lineRule="exact"/>
              <w:jc w:val="left"/>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4）.深化VTE规范化防治。参与王辰院士领衔、中日友好医院牵头的中国住院患者静脉血栓栓塞症预防策略研究项目，是全省4家当选医院之一。被中华医学会评为全国肺栓塞系统化研究优秀参研单位，并高分通过全国VTE防治能力评审，成为优秀VTE防治中心。</w:t>
            </w:r>
          </w:p>
          <w:p w14:paraId="3FD9F425">
            <w:pPr>
              <w:autoSpaceDN w:val="0"/>
              <w:spacing w:line="320" w:lineRule="exact"/>
              <w:jc w:val="left"/>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5）.稳步推进五大中心建设。胸痛中心完成急性心肌梗死急诊介入治疗手术136台次，ST段抬高心肌梗死病人平均门球（D2B）时间70分钟，达标率83%；发病12小时再灌注率93%。卒中中心成功开展静脉溶栓86例，DNT中位数47min；开展院内外健康讲座、义诊33次，基层培训6次,院内培训3次；完成卒中患者床旁建档1603例，卒中患者电话随访4782例。创伤中心收治严重创伤50人，总治愈率82.7%；荣获“中国创伤救治联盟会员单位”授牌，并在全市首创召开创伤MHT会议，先后到华容、临湘等6县区开展创伤技术指导与帮扶，积极提升全市创伤救治水平；工作案例荣获湖南省“改善就医感受，提升患者体验”比赛“十佳案例”，并被遴选为国家创伤联盟创伤中心建设典型案例。孕产妇救治中心全年共救治危重孕产妇26例，抢救成功率100%。</w:t>
            </w:r>
          </w:p>
          <w:p w14:paraId="2778169F">
            <w:pPr>
              <w:autoSpaceDN w:val="0"/>
              <w:spacing w:line="320" w:lineRule="exact"/>
              <w:jc w:val="left"/>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6）.大力推广多学科联合诊疗。进一步强化全院33个MDT病种管理，其中肺癌MDT、乳腺癌MDT、罕见病MDT、肺栓塞MDT、糖尿病足MDT得到较快发展。罕见病MDT团队组织召开了罕见病诊治调研座谈会，肺栓塞MDT成立了急性肺栓塞诊治快速反应团队（PERT），全年因急性肺栓塞死亡病例下降为0例。糖尿病足MDT新增中医科、疼痛科专家，在全市首创开展糖尿病足下肢动脉闭塞患者脊髓电刺激治疗，取得良好疗效。</w:t>
            </w:r>
          </w:p>
          <w:p w14:paraId="450889CF">
            <w:pPr>
              <w:autoSpaceDN w:val="0"/>
              <w:spacing w:line="320" w:lineRule="exact"/>
              <w:jc w:val="left"/>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7）.不断加强临床路径管理。召开临床路径工作推进会2次，完善临床路径建设工作方案，确定基本病种目录，搭建信息化操作平台。截止12月，全院实行临床路径科室36个，对出院患者按照临床路径管理占比16.02%。</w:t>
            </w:r>
          </w:p>
          <w:p w14:paraId="739B9EF1">
            <w:pPr>
              <w:autoSpaceDN w:val="0"/>
              <w:spacing w:line="320" w:lineRule="exact"/>
              <w:jc w:val="left"/>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8）.切实提升合理用药水平。在全市率先开设药学门诊和门诊义诊专区药学服务，安排临床药师每天坐诊。全年开展药学会诊600余次，同比增加63%；在架病历点评1.27万份，同比增加98%，门诊处方点评2.61万张，同比增加20.3%，药学查房、药学科普、药物基因检测、麻精药品信息化管理等工作力度持续加大，有力提升了临床合理用药水平。</w:t>
            </w:r>
          </w:p>
          <w:p w14:paraId="342D6E1A">
            <w:pPr>
              <w:autoSpaceDN w:val="0"/>
              <w:spacing w:line="320" w:lineRule="exact"/>
              <w:jc w:val="left"/>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9）.持续加强院感管理。召开医院感染管理委员会会议、内镜同质化管理专题会议，制定《提高住院患者抗菌药物治疗前病原学送检率工作方案》，开展内镜监测规范采样操作流程专题培训、保洁员院感知识专题培训21批次，培训人数2257人；开展全院院感知识竞赛2轮次；持续提升医院感染防控能力。常态化开展院感督查，发现问题765个，提出整改建议745条，大部分已整改到位；调查手卫生时机1.02万次，手卫生正确率96.41%。成功举办全市医院感染管理质控会议和院感管理专业委员会年会、全市“提高住院患者抗菌药物治疗前病原学送检率”专项培训班、全市院感防控青年演讲大赛和湖南省医院感染管理“两网一会”年会；作为市级质控中心对全市71家医疗机构开展院感专项督查；被评为“湖南省先进院感质量控制中心”“岳阳市优秀医疗质量控制中心”。</w:t>
            </w:r>
          </w:p>
          <w:p w14:paraId="4DE59A29">
            <w:pPr>
              <w:autoSpaceDN w:val="0"/>
              <w:spacing w:line="320" w:lineRule="exact"/>
              <w:jc w:val="left"/>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lang w:eastAsia="zh-CN"/>
              </w:rPr>
              <w:t>二、</w:t>
            </w:r>
            <w:r>
              <w:rPr>
                <w:rFonts w:hint="eastAsia" w:ascii="仿宋_GB2312" w:hAnsi="仿宋_GB2312" w:eastAsia="仿宋_GB2312" w:cs="仿宋_GB2312"/>
                <w:color w:val="000000"/>
                <w:spacing w:val="-6"/>
                <w:sz w:val="24"/>
              </w:rPr>
              <w:t>服务水平不断优化</w:t>
            </w:r>
          </w:p>
          <w:p w14:paraId="7C57F201">
            <w:pPr>
              <w:autoSpaceDN w:val="0"/>
              <w:spacing w:line="320" w:lineRule="exact"/>
              <w:jc w:val="left"/>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1）.门诊就医更加温馨便捷。一是优化门诊患者采血流程。将采血室搬迁至新门诊楼一楼大厅，减少采血患者的问询频次，缩短患者行动路程。二是积极推行一站式诊疗。成立产后康复诊疗中心，在产科诊区增设超声检查和静脉采血处，实现产科门诊一站式诊疗。三是完成妇科门诊一体化改造，提高妇科患者诊疗效率。四是优化影像检查服务流程，打造集影像检查登记、问询、报到、改签预约、报告打印等功能于一体的影像检查服务中心，极大方便了患者，提高了服务效率。五是优化门诊康复诊疗布局，将康复诊疗前移，增设门诊运动康复诊疗区，实现康复一条龙服务。六是弘扬国粹，在门诊开设“中医馆”，提供中医针灸康复及美容项目服务，反响良好。全年门诊满意度平均91.5分，投诉率同比下降41.3%。</w:t>
            </w:r>
          </w:p>
          <w:p w14:paraId="54EC0BC5">
            <w:pPr>
              <w:autoSpaceDN w:val="0"/>
              <w:spacing w:line="320" w:lineRule="exact"/>
              <w:jc w:val="left"/>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2）.护理服务更加优质高效。一是护理技术创新发展。举办2024年护理新技术新项目论证会，审核开展14个新技术。成功开展医院首届护士技能大赛，共有20个护理单元获团体奖，41位护士获单项奖。3个项目获岳阳市首届护理创新项目奖；荣获第四届最佳临床护理实践案例竞赛岳阳市一等奖、湖南省二等奖。开办护理科研选题与论文撰写专题培训班，不断提升护理技术水平。成功立项湖南省自然科学基金区域联合项目1项。组织全院护士参加湖南省“三基”水平测试，参考率、合格率均为100%。先后与临湘市人民医院、岳阳市四人民医院等8家单位建立护理专科联盟，促进护理学科持续发展。成功开展科普视频竞赛，不断提升健康科普水平。二是护理管理更趋精益。成立院级护理质控追踪整改督查小组。开展管道、高危跌倒、药品管理等专项督查及护理不良事件安全警示教育，制定《造影剂外渗处理流程》等共6项管理规定与流程，修订《患者走失应急预案与处理流程》等共8项管理规定与流程，实行节假日部分专科合科管理、常规应急和危急重症应急队员双排班、护理部和护士长双值班的弹性管理模式，更大程度保障患者安全。三是护理服务更加优质。深入开展34个护理质量改善案和1个品管圈活动；在全院推广MEWS评分，早期预警病情变化；制定《患者心理健康管理工作流程》，为患者进行心理干预，促进患者心理健康，避免意外事件发生。全院推行一特色、二关爱、三体验、四举措“1234”卓越护理服务。如中医科大力推广中医适宜技术，改善失眠患者睡眠情况；内分泌科开展院外血糖管理，对行动不便的患者专人护送入院；神经内科一病区倾力打造安静病房；产科针对孕产妇开展一对一全程管理，降低妊娠并发症等，受到患者好评。</w:t>
            </w:r>
          </w:p>
          <w:p w14:paraId="5CC84873">
            <w:pPr>
              <w:autoSpaceDN w:val="0"/>
              <w:spacing w:line="320" w:lineRule="exact"/>
              <w:jc w:val="left"/>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lang w:eastAsia="zh-CN"/>
              </w:rPr>
              <w:t>三</w:t>
            </w:r>
            <w:r>
              <w:rPr>
                <w:rFonts w:hint="eastAsia" w:ascii="仿宋_GB2312" w:hAnsi="仿宋_GB2312" w:eastAsia="仿宋_GB2312" w:cs="仿宋_GB2312"/>
                <w:color w:val="000000"/>
                <w:spacing w:val="-6"/>
                <w:sz w:val="24"/>
              </w:rPr>
              <w:t>、医院管理更趋精益</w:t>
            </w:r>
          </w:p>
          <w:p w14:paraId="0A905D17">
            <w:pPr>
              <w:autoSpaceDN w:val="0"/>
              <w:spacing w:line="320" w:lineRule="exact"/>
              <w:jc w:val="left"/>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1）.运营管理提质增效。构建以资源占用为基础的临床科室业务量预算模型，公平、公正、客观的制定每个科室的预算门诊量和预算出院病人量。新增预算执行管理绩效方案，结合DIP改革特点，按照有效CMI值和超额累进绩效，激励医务人员工作积极性。每月开展临床科室运营分析和预算执行绩效政策讲解，针对科室运行过程中发现的问题，及时反馈，做实做细全过程管理。成功举办湘北地区公立医院绩效考核培训班，来自岳阳、常德、益阳近70家医疗机构的负责人参加会议，李伟院长以《实施预算、运营、绩效一体化 抓牢用好国考“指挥棒”》为题分享了医院管理经验，引起强烈反响。</w:t>
            </w:r>
          </w:p>
          <w:p w14:paraId="5F4FF1C0">
            <w:pPr>
              <w:autoSpaceDN w:val="0"/>
              <w:spacing w:line="320" w:lineRule="exact"/>
              <w:jc w:val="left"/>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2）.人才管理成效显著。进一步拓展人才引育渠道，完善年度考核、人才引进、公开招聘、高级职称自主评审等人事制度，激发人才队伍活力。全年共招聘专业人员72人，其中博士5名（内分泌、骨科、肝胰、肿瘤、乳腺外科）、学科带头人4名（呼吸、心电图、神内、心内）、紧缺型人才1名（精神病与精神卫生学）、硕士33名；2人通过湖南省卫健委国际海外交流学习选拔，分别赴美国南加州大学脊柱中心和加州大学欧文分校泌尿外科学习。选拔任用了19名德才兼备、工作务实、群众认可的中层管理干部；25人通过医院自主评审，晋升高级职称；为医院高质量发展积蓄人才动能。</w:t>
            </w:r>
          </w:p>
          <w:p w14:paraId="18FA4E02">
            <w:pPr>
              <w:autoSpaceDN w:val="0"/>
              <w:spacing w:line="320" w:lineRule="exact"/>
              <w:jc w:val="left"/>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3）.成本管理严谨有序。一是加强国有资产管理。对全院资产进行盘点，做到账实相符、家底清晰。对报废物资进行回收再利用80件，再用利率17.5%，节约资金9.2万元。二是加强内部审计。全年审计人员审核付款票据2871份,参与进货洽谈130次、项目洽谈113个、新型医用耗材引进洽谈164次，共审减236.49万元，维护了医院利益。三是创新成本管理模式。为了降低医院低值耗材支出，避免耗材浪费，护理部联合运营部、医学装备部、信息工程部，成立医院护理单元医用低值耗材精益化管理研究项目团队，开展低值耗材精益化管理。运行以来，全院排名前20位的低值耗材同比下降23万余元。</w:t>
            </w:r>
          </w:p>
          <w:p w14:paraId="558F74D9">
            <w:pPr>
              <w:autoSpaceDN w:val="0"/>
              <w:spacing w:line="320" w:lineRule="exact"/>
              <w:jc w:val="left"/>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4）.综治管理形成长效。将门诊大楼地下停车场收回医院管理，进一步优化院内交通。推进“平安医院”建设，全院层层签订消防安全责任状60份，与上级主管部门签订责任状2份，协助市卫健委举办全市医疗机构消防标准化管理现场培训观摩会。开展全院安全大检查27次，举办消防讲座3次，消防设施使用培训演练2次，进一步提高职工消防意识。深入开展“扫黑除恶”专项斗争，发放“扫黑除恶”专项斗争宣传资料4050余份，制作横幅15条；协助辖区派出所开展“无毒社区”建设，制作宣传栏1块， 营造浓厚的医院安全文化。</w:t>
            </w:r>
          </w:p>
          <w:p w14:paraId="7B8285AA">
            <w:pPr>
              <w:autoSpaceDN w:val="0"/>
              <w:spacing w:line="320" w:lineRule="exact"/>
              <w:jc w:val="left"/>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lang w:eastAsia="zh-CN"/>
              </w:rPr>
              <w:t>四</w:t>
            </w:r>
            <w:r>
              <w:rPr>
                <w:rFonts w:hint="eastAsia" w:ascii="仿宋_GB2312" w:hAnsi="仿宋_GB2312" w:eastAsia="仿宋_GB2312" w:cs="仿宋_GB2312"/>
                <w:color w:val="000000"/>
                <w:spacing w:val="-6"/>
                <w:sz w:val="24"/>
              </w:rPr>
              <w:t>、医药改革取得实效</w:t>
            </w:r>
          </w:p>
          <w:p w14:paraId="594ECCFB">
            <w:pPr>
              <w:autoSpaceDN w:val="0"/>
              <w:spacing w:line="320" w:lineRule="exact"/>
              <w:jc w:val="left"/>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1）.严格控制医药费用。将SPD系统纳入至医院信息系统监管理平台和医院安全监管体系，强化监管。按照国家医保总局要求，对关节、脊柱、支架类重点耗材进行重点监控，对2021至2023年重点耗材进行数据摸底和核查，并上报国家集采回头看平台进行解析。贯彻落实国家和省市药品耗材集采政策，采取低价替代高价、动态监控等措施，严控药品耗材支出。在业务量增长的同时，全院药占比21%，同比下降1.3%，药品销售总额同比减少600万元；出院患者的次均药费为2151元，下降10.45%门诊患者的次均药费为124.5元，下降9.32%，基药使用金额占比增加8.23%，抗菌药物强度下降2.3%。耗材管理继续实行“降价一批，替换一批，带量一批，替换一批”动态监管，放射类、低值类、试剂类耗材总量同比下降447.60万元，其中放射类耗材降幅达59.62%，切实减轻了患者就医负担。</w:t>
            </w:r>
          </w:p>
          <w:p w14:paraId="3F1AAD8C">
            <w:pPr>
              <w:autoSpaceDN w:val="0"/>
              <w:spacing w:line="320" w:lineRule="exact"/>
              <w:jc w:val="left"/>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2）.积极深化医联体建设。全年新增签约医联体单位12家，与各医联体之间联络100余次，深化业务交流。接收基层医院检验检查1000余人次，实现双向转诊3900余人次。向16家基层医疗机构派驻20位专家进行技术帮扶。派出25名专科医生全脱产支援岳阳县、屈原区等9家基层医院。选派一名专家对口帮扶保靖县人民医院创建卒中中心。帮助基层医院提升技术水平。同时，积极开展“卫生进基层”活动。在郭亮社区、郭镇乡敬老院、临湘海事处码头等地，开展大型爱民义诊活动20次；在弘毅中学、东城小学、洞氮社区等地开展健康知识讲座15次；让基层老百姓在家门口享受高质量医疗服务。</w:t>
            </w:r>
          </w:p>
          <w:p w14:paraId="7D80B111">
            <w:pPr>
              <w:autoSpaceDN w:val="0"/>
              <w:spacing w:line="320" w:lineRule="exact"/>
              <w:jc w:val="left"/>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3）.不断延伸服务半径。互联网医院服务到家。互联网医院围绕线上咨询、问诊开方、线上交费、线上购药和送药到家等开展服务。共有34个科室230名医生服务上线。增加互联网+护理平台护士人数至84人，开展互联网+护理服务100例，受到群众欢迎与好评。医疗“云平台”稳步推进。完成云影像平台建设，实行云胶片服务，全年胶片打印率下降至10%以内。云心电试运行覆盖广兴洲、公田、黄沙街等9个医联体，实现实时动态心电监测、心电远程诊断、数据调阅、报告查询等，完成诊断46例。慢病管理全面铺开。设置恶性肿瘤、高血压、骨质疏松、糖尿病等慢病早筛门诊，并关口前移至五里牌、金凤桥等社区，开展慢病全病程全方位管理。认真开展城市五癌筛查和肿瘤登记工作，被省卫健委评为2023年度优秀筛查单位。以全国肿瘤防治宣传周为契机，组织开展义诊、宣教、患教会等8项活动，提升群众预防保健意识。</w:t>
            </w:r>
          </w:p>
          <w:p w14:paraId="4D15D7E1">
            <w:pPr>
              <w:autoSpaceDN w:val="0"/>
              <w:spacing w:line="320" w:lineRule="exact"/>
              <w:jc w:val="left"/>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4).医保管理持续加强。邀请市医保局赖优良主任来院宣讲医保政策，让医务人员充分了解药品、耗材医保限制。开展医保MDT稽核检查12次，DIP工作专班定期分析相关数据，及时发现并解决问题，借助中公网实现对临床医疗行为规范化管理。较好完成DIP付费首年度（2023年）清算工作。合理调整物价，重点提高手术、治疗、康复、药学、病理和精神科等体现技术劳务价值的服务项目价格，优化医疗费用结构。对284个医疗服务项目价格均及时调整到位，特别是PET/CT等大型检查项目大幅降价，让利于民。新增湖南省“双通道”责任医生9名，使全院“双通道”责任医生达到71名，涵盖双通道药品涉及的全部专业；在医保咨询窗口前置一站式服务台、在临床科室开展“医保登记”，将医保服务前移，为患者提供方便。</w:t>
            </w:r>
          </w:p>
          <w:p w14:paraId="77913F4F">
            <w:pPr>
              <w:ind w:firstLine="480" w:firstLineChars="200"/>
              <w:jc w:val="left"/>
              <w:rPr>
                <w:rFonts w:hint="eastAsia" w:ascii="宋体" w:hAnsi="宋体" w:cs="仿宋_GB2312"/>
                <w:color w:val="000000"/>
                <w:sz w:val="24"/>
              </w:rPr>
            </w:pPr>
          </w:p>
        </w:tc>
      </w:tr>
      <w:tr w14:paraId="6A022E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800" w:type="dxa"/>
            <w:gridSpan w:val="17"/>
            <w:noWrap w:val="0"/>
            <w:vAlign w:val="center"/>
          </w:tcPr>
          <w:p w14:paraId="7A1746A3">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二、部门（单位）收支情况</w:t>
            </w:r>
          </w:p>
        </w:tc>
      </w:tr>
      <w:tr w14:paraId="4B7CB0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800" w:type="dxa"/>
            <w:gridSpan w:val="17"/>
            <w:noWrap w:val="0"/>
            <w:vAlign w:val="center"/>
          </w:tcPr>
          <w:p w14:paraId="7F2449FD">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年度收入情况（万元）</w:t>
            </w:r>
          </w:p>
        </w:tc>
      </w:tr>
      <w:tr w14:paraId="7467CE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2"/>
            <w:vMerge w:val="restart"/>
            <w:noWrap w:val="0"/>
            <w:vAlign w:val="center"/>
          </w:tcPr>
          <w:p w14:paraId="4BF201F4">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机构名称</w:t>
            </w:r>
          </w:p>
        </w:tc>
        <w:tc>
          <w:tcPr>
            <w:tcW w:w="1174" w:type="dxa"/>
            <w:gridSpan w:val="2"/>
            <w:vMerge w:val="restart"/>
            <w:tcBorders>
              <w:right w:val="single" w:color="auto" w:sz="4" w:space="0"/>
            </w:tcBorders>
            <w:noWrap w:val="0"/>
            <w:vAlign w:val="center"/>
          </w:tcPr>
          <w:p w14:paraId="0C6C8AAD">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收入合计</w:t>
            </w:r>
          </w:p>
        </w:tc>
        <w:tc>
          <w:tcPr>
            <w:tcW w:w="6926" w:type="dxa"/>
            <w:gridSpan w:val="13"/>
            <w:tcBorders>
              <w:left w:val="single" w:color="auto" w:sz="4" w:space="0"/>
            </w:tcBorders>
            <w:noWrap w:val="0"/>
            <w:vAlign w:val="center"/>
          </w:tcPr>
          <w:p w14:paraId="37B9B39B">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14:paraId="7871AA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014" w:hRule="atLeast"/>
          <w:jc w:val="center"/>
        </w:trPr>
        <w:tc>
          <w:tcPr>
            <w:tcW w:w="1700" w:type="dxa"/>
            <w:gridSpan w:val="2"/>
            <w:vMerge w:val="continue"/>
            <w:noWrap w:val="0"/>
            <w:vAlign w:val="center"/>
          </w:tcPr>
          <w:p w14:paraId="2102D436">
            <w:pPr>
              <w:autoSpaceDN w:val="0"/>
              <w:spacing w:line="320" w:lineRule="exact"/>
              <w:jc w:val="center"/>
              <w:textAlignment w:val="center"/>
              <w:rPr>
                <w:rFonts w:hint="eastAsia" w:ascii="仿宋_GB2312" w:hAnsi="仿宋_GB2312" w:eastAsia="仿宋_GB2312" w:cs="仿宋_GB2312"/>
                <w:color w:val="000000"/>
                <w:sz w:val="24"/>
              </w:rPr>
            </w:pPr>
          </w:p>
        </w:tc>
        <w:tc>
          <w:tcPr>
            <w:tcW w:w="1174" w:type="dxa"/>
            <w:gridSpan w:val="2"/>
            <w:vMerge w:val="continue"/>
            <w:tcBorders>
              <w:right w:val="single" w:color="auto" w:sz="4" w:space="0"/>
            </w:tcBorders>
            <w:noWrap w:val="0"/>
            <w:vAlign w:val="center"/>
          </w:tcPr>
          <w:p w14:paraId="37801E06">
            <w:pPr>
              <w:autoSpaceDN w:val="0"/>
              <w:spacing w:line="320" w:lineRule="exact"/>
              <w:jc w:val="center"/>
              <w:textAlignment w:val="center"/>
              <w:rPr>
                <w:rFonts w:hint="eastAsia" w:ascii="仿宋_GB2312" w:hAnsi="仿宋_GB2312" w:eastAsia="仿宋_GB2312" w:cs="仿宋_GB2312"/>
                <w:color w:val="000000"/>
                <w:sz w:val="24"/>
              </w:rPr>
            </w:pPr>
          </w:p>
        </w:tc>
        <w:tc>
          <w:tcPr>
            <w:tcW w:w="1261" w:type="dxa"/>
            <w:gridSpan w:val="2"/>
            <w:tcBorders>
              <w:left w:val="single" w:color="auto" w:sz="4" w:space="0"/>
            </w:tcBorders>
            <w:noWrap w:val="0"/>
            <w:vAlign w:val="center"/>
          </w:tcPr>
          <w:p w14:paraId="3A7B12E7">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上年结转</w:t>
            </w:r>
          </w:p>
        </w:tc>
        <w:tc>
          <w:tcPr>
            <w:tcW w:w="1080" w:type="dxa"/>
            <w:gridSpan w:val="2"/>
            <w:noWrap w:val="0"/>
            <w:vAlign w:val="center"/>
          </w:tcPr>
          <w:p w14:paraId="20F4D77F">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公共财</w:t>
            </w:r>
          </w:p>
          <w:p w14:paraId="6AFECA21">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政拨款</w:t>
            </w:r>
          </w:p>
        </w:tc>
        <w:tc>
          <w:tcPr>
            <w:tcW w:w="1705" w:type="dxa"/>
            <w:gridSpan w:val="2"/>
            <w:noWrap w:val="0"/>
            <w:vAlign w:val="center"/>
          </w:tcPr>
          <w:p w14:paraId="61CF56C2">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政府基金拨款</w:t>
            </w:r>
          </w:p>
        </w:tc>
        <w:tc>
          <w:tcPr>
            <w:tcW w:w="1800" w:type="dxa"/>
            <w:gridSpan w:val="4"/>
            <w:noWrap w:val="0"/>
            <w:vAlign w:val="center"/>
          </w:tcPr>
          <w:p w14:paraId="269A9FC1">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纳入专户管理的非税收入拨款</w:t>
            </w:r>
          </w:p>
        </w:tc>
        <w:tc>
          <w:tcPr>
            <w:tcW w:w="1080" w:type="dxa"/>
            <w:gridSpan w:val="3"/>
            <w:noWrap w:val="0"/>
            <w:vAlign w:val="center"/>
          </w:tcPr>
          <w:p w14:paraId="6A4A160E">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p w14:paraId="7A9BDBED">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收入</w:t>
            </w:r>
          </w:p>
        </w:tc>
      </w:tr>
      <w:tr w14:paraId="238BED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72" w:hRule="atLeast"/>
          <w:jc w:val="center"/>
        </w:trPr>
        <w:tc>
          <w:tcPr>
            <w:tcW w:w="1700" w:type="dxa"/>
            <w:gridSpan w:val="2"/>
            <w:noWrap w:val="0"/>
            <w:vAlign w:val="center"/>
          </w:tcPr>
          <w:p w14:paraId="1D074246">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color w:val="000000"/>
                <w:sz w:val="24"/>
              </w:rPr>
              <w:t>局机关及二级机构汇总</w:t>
            </w:r>
          </w:p>
        </w:tc>
        <w:tc>
          <w:tcPr>
            <w:tcW w:w="1174" w:type="dxa"/>
            <w:gridSpan w:val="2"/>
            <w:tcBorders>
              <w:right w:val="single" w:color="auto" w:sz="4" w:space="0"/>
            </w:tcBorders>
            <w:noWrap w:val="0"/>
            <w:vAlign w:val="center"/>
          </w:tcPr>
          <w:p w14:paraId="411B5E67">
            <w:pPr>
              <w:autoSpaceDN w:val="0"/>
              <w:spacing w:line="320" w:lineRule="exact"/>
              <w:jc w:val="left"/>
              <w:textAlignment w:val="center"/>
              <w:rPr>
                <w:rFonts w:hint="eastAsia" w:ascii="仿宋_GB2312" w:hAnsi="仿宋_GB2312" w:eastAsia="仿宋_GB2312" w:cs="仿宋_GB2312"/>
                <w:color w:val="000000"/>
                <w:sz w:val="24"/>
              </w:rPr>
            </w:pPr>
          </w:p>
        </w:tc>
        <w:tc>
          <w:tcPr>
            <w:tcW w:w="1261" w:type="dxa"/>
            <w:gridSpan w:val="2"/>
            <w:tcBorders>
              <w:left w:val="single" w:color="auto" w:sz="4" w:space="0"/>
            </w:tcBorders>
            <w:noWrap w:val="0"/>
            <w:vAlign w:val="center"/>
          </w:tcPr>
          <w:p w14:paraId="0286F7DB">
            <w:pPr>
              <w:autoSpaceDN w:val="0"/>
              <w:spacing w:line="320" w:lineRule="exact"/>
              <w:jc w:val="left"/>
              <w:textAlignment w:val="center"/>
              <w:rPr>
                <w:rFonts w:hint="eastAsia" w:ascii="仿宋_GB2312" w:hAnsi="仿宋_GB2312" w:eastAsia="仿宋_GB2312" w:cs="仿宋_GB2312"/>
                <w:color w:val="000000"/>
                <w:sz w:val="24"/>
              </w:rPr>
            </w:pPr>
          </w:p>
        </w:tc>
        <w:tc>
          <w:tcPr>
            <w:tcW w:w="1080" w:type="dxa"/>
            <w:gridSpan w:val="2"/>
            <w:noWrap w:val="0"/>
            <w:vAlign w:val="center"/>
          </w:tcPr>
          <w:p w14:paraId="0F727297">
            <w:pPr>
              <w:autoSpaceDN w:val="0"/>
              <w:spacing w:line="320" w:lineRule="exact"/>
              <w:jc w:val="left"/>
              <w:textAlignment w:val="center"/>
              <w:rPr>
                <w:rFonts w:hint="eastAsia" w:ascii="仿宋_GB2312" w:hAnsi="仿宋_GB2312" w:eastAsia="仿宋_GB2312" w:cs="仿宋_GB2312"/>
                <w:color w:val="000000"/>
                <w:sz w:val="24"/>
              </w:rPr>
            </w:pPr>
          </w:p>
        </w:tc>
        <w:tc>
          <w:tcPr>
            <w:tcW w:w="1705" w:type="dxa"/>
            <w:gridSpan w:val="2"/>
            <w:noWrap w:val="0"/>
            <w:vAlign w:val="center"/>
          </w:tcPr>
          <w:p w14:paraId="4AE0EA1E">
            <w:pPr>
              <w:autoSpaceDN w:val="0"/>
              <w:spacing w:line="320" w:lineRule="exact"/>
              <w:jc w:val="left"/>
              <w:textAlignment w:val="center"/>
              <w:rPr>
                <w:rFonts w:hint="eastAsia" w:ascii="仿宋_GB2312" w:hAnsi="仿宋_GB2312" w:eastAsia="仿宋_GB2312" w:cs="仿宋_GB2312"/>
                <w:color w:val="000000"/>
                <w:sz w:val="24"/>
              </w:rPr>
            </w:pPr>
          </w:p>
        </w:tc>
        <w:tc>
          <w:tcPr>
            <w:tcW w:w="1800" w:type="dxa"/>
            <w:gridSpan w:val="4"/>
            <w:noWrap w:val="0"/>
            <w:vAlign w:val="center"/>
          </w:tcPr>
          <w:p w14:paraId="43A52F40">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3"/>
            <w:noWrap w:val="0"/>
            <w:vAlign w:val="center"/>
          </w:tcPr>
          <w:p w14:paraId="1D6CD791">
            <w:pPr>
              <w:autoSpaceDN w:val="0"/>
              <w:spacing w:line="320" w:lineRule="exact"/>
              <w:jc w:val="left"/>
              <w:textAlignment w:val="center"/>
              <w:rPr>
                <w:rFonts w:hint="eastAsia" w:ascii="仿宋_GB2312" w:hAnsi="仿宋_GB2312" w:eastAsia="仿宋_GB2312" w:cs="仿宋_GB2312"/>
                <w:color w:val="000000"/>
                <w:sz w:val="24"/>
              </w:rPr>
            </w:pPr>
          </w:p>
        </w:tc>
      </w:tr>
      <w:tr w14:paraId="76C283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2"/>
            <w:noWrap w:val="0"/>
            <w:vAlign w:val="center"/>
          </w:tcPr>
          <w:p w14:paraId="26A1DD34">
            <w:pPr>
              <w:spacing w:line="320" w:lineRule="exact"/>
              <w:jc w:val="left"/>
              <w:rPr>
                <w:rFonts w:hint="eastAsia" w:ascii="仿宋_GB2312" w:hAnsi="仿宋_GB2312" w:eastAsia="仿宋_GB2312" w:cs="仿宋_GB2312"/>
                <w:color w:val="000000"/>
                <w:sz w:val="24"/>
              </w:rPr>
            </w:pPr>
            <w:r>
              <w:rPr>
                <w:rFonts w:hint="eastAsia" w:ascii="仿宋_GB2312" w:hAnsi="仿宋_GB2312" w:eastAsia="仿宋_GB2312" w:cs="仿宋_GB2312"/>
                <w:sz w:val="24"/>
              </w:rPr>
              <w:t>1、局机关</w:t>
            </w:r>
          </w:p>
        </w:tc>
        <w:tc>
          <w:tcPr>
            <w:tcW w:w="1174" w:type="dxa"/>
            <w:gridSpan w:val="2"/>
            <w:tcBorders>
              <w:right w:val="single" w:color="auto" w:sz="4" w:space="0"/>
            </w:tcBorders>
            <w:noWrap w:val="0"/>
            <w:vAlign w:val="center"/>
          </w:tcPr>
          <w:p w14:paraId="4B71159B">
            <w:pPr>
              <w:autoSpaceDN w:val="0"/>
              <w:spacing w:line="320" w:lineRule="exact"/>
              <w:jc w:val="left"/>
              <w:textAlignment w:val="center"/>
              <w:rPr>
                <w:rFonts w:hint="eastAsia" w:ascii="仿宋_GB2312" w:hAnsi="仿宋_GB2312" w:eastAsia="仿宋_GB2312" w:cs="仿宋_GB2312"/>
                <w:color w:val="000000"/>
                <w:sz w:val="24"/>
              </w:rPr>
            </w:pPr>
          </w:p>
        </w:tc>
        <w:tc>
          <w:tcPr>
            <w:tcW w:w="1261" w:type="dxa"/>
            <w:gridSpan w:val="2"/>
            <w:tcBorders>
              <w:left w:val="single" w:color="auto" w:sz="4" w:space="0"/>
            </w:tcBorders>
            <w:noWrap w:val="0"/>
            <w:vAlign w:val="center"/>
          </w:tcPr>
          <w:p w14:paraId="200A9FBB">
            <w:pPr>
              <w:autoSpaceDN w:val="0"/>
              <w:spacing w:line="320" w:lineRule="exact"/>
              <w:jc w:val="left"/>
              <w:textAlignment w:val="center"/>
              <w:rPr>
                <w:rFonts w:hint="eastAsia" w:ascii="仿宋_GB2312" w:hAnsi="仿宋_GB2312" w:eastAsia="仿宋_GB2312" w:cs="仿宋_GB2312"/>
                <w:color w:val="000000"/>
                <w:sz w:val="24"/>
              </w:rPr>
            </w:pPr>
          </w:p>
        </w:tc>
        <w:tc>
          <w:tcPr>
            <w:tcW w:w="1080" w:type="dxa"/>
            <w:gridSpan w:val="2"/>
            <w:noWrap w:val="0"/>
            <w:vAlign w:val="center"/>
          </w:tcPr>
          <w:p w14:paraId="2689049E">
            <w:pPr>
              <w:autoSpaceDN w:val="0"/>
              <w:spacing w:line="320" w:lineRule="exact"/>
              <w:jc w:val="left"/>
              <w:textAlignment w:val="center"/>
              <w:rPr>
                <w:rFonts w:hint="eastAsia" w:ascii="仿宋_GB2312" w:hAnsi="仿宋_GB2312" w:eastAsia="仿宋_GB2312" w:cs="仿宋_GB2312"/>
                <w:color w:val="000000"/>
                <w:sz w:val="24"/>
              </w:rPr>
            </w:pPr>
          </w:p>
        </w:tc>
        <w:tc>
          <w:tcPr>
            <w:tcW w:w="1705" w:type="dxa"/>
            <w:gridSpan w:val="2"/>
            <w:noWrap w:val="0"/>
            <w:vAlign w:val="center"/>
          </w:tcPr>
          <w:p w14:paraId="74194F43">
            <w:pPr>
              <w:autoSpaceDN w:val="0"/>
              <w:spacing w:line="320" w:lineRule="exact"/>
              <w:jc w:val="left"/>
              <w:textAlignment w:val="center"/>
              <w:rPr>
                <w:rFonts w:hint="eastAsia" w:ascii="仿宋_GB2312" w:hAnsi="仿宋_GB2312" w:eastAsia="仿宋_GB2312" w:cs="仿宋_GB2312"/>
                <w:color w:val="000000"/>
                <w:sz w:val="24"/>
              </w:rPr>
            </w:pPr>
          </w:p>
        </w:tc>
        <w:tc>
          <w:tcPr>
            <w:tcW w:w="1800" w:type="dxa"/>
            <w:gridSpan w:val="4"/>
            <w:noWrap w:val="0"/>
            <w:vAlign w:val="center"/>
          </w:tcPr>
          <w:p w14:paraId="6EC06C3C">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3"/>
            <w:noWrap w:val="0"/>
            <w:vAlign w:val="center"/>
          </w:tcPr>
          <w:p w14:paraId="636A51C7">
            <w:pPr>
              <w:autoSpaceDN w:val="0"/>
              <w:spacing w:line="320" w:lineRule="exact"/>
              <w:jc w:val="left"/>
              <w:textAlignment w:val="center"/>
              <w:rPr>
                <w:rFonts w:hint="eastAsia" w:ascii="仿宋_GB2312" w:hAnsi="仿宋_GB2312" w:eastAsia="仿宋_GB2312" w:cs="仿宋_GB2312"/>
                <w:color w:val="000000"/>
                <w:sz w:val="24"/>
              </w:rPr>
            </w:pPr>
          </w:p>
        </w:tc>
      </w:tr>
      <w:tr w14:paraId="1C9D86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2"/>
            <w:noWrap w:val="0"/>
            <w:vAlign w:val="center"/>
          </w:tcPr>
          <w:p w14:paraId="6925AC84">
            <w:pPr>
              <w:spacing w:line="320" w:lineRule="exact"/>
              <w:jc w:val="left"/>
              <w:rPr>
                <w:rFonts w:hint="eastAsia" w:ascii="仿宋_GB2312" w:hAnsi="仿宋_GB2312" w:eastAsia="仿宋_GB2312" w:cs="仿宋_GB2312"/>
                <w:color w:val="000000"/>
                <w:sz w:val="24"/>
              </w:rPr>
            </w:pPr>
            <w:r>
              <w:rPr>
                <w:rFonts w:hint="eastAsia" w:ascii="仿宋_GB2312" w:hAnsi="仿宋_GB2312" w:eastAsia="仿宋_GB2312" w:cs="仿宋_GB2312"/>
                <w:sz w:val="24"/>
              </w:rPr>
              <w:t>2、市二医院</w:t>
            </w:r>
          </w:p>
        </w:tc>
        <w:tc>
          <w:tcPr>
            <w:tcW w:w="1174" w:type="dxa"/>
            <w:gridSpan w:val="2"/>
            <w:tcBorders>
              <w:right w:val="single" w:color="auto" w:sz="4" w:space="0"/>
            </w:tcBorders>
            <w:noWrap w:val="0"/>
            <w:vAlign w:val="center"/>
          </w:tcPr>
          <w:p w14:paraId="0E0AA03A">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98704.68</w:t>
            </w:r>
          </w:p>
        </w:tc>
        <w:tc>
          <w:tcPr>
            <w:tcW w:w="1261" w:type="dxa"/>
            <w:gridSpan w:val="2"/>
            <w:tcBorders>
              <w:left w:val="single" w:color="auto" w:sz="4" w:space="0"/>
            </w:tcBorders>
            <w:noWrap w:val="0"/>
            <w:vAlign w:val="center"/>
          </w:tcPr>
          <w:p w14:paraId="78B7BDEB">
            <w:pPr>
              <w:autoSpaceDN w:val="0"/>
              <w:spacing w:line="320" w:lineRule="exact"/>
              <w:jc w:val="left"/>
              <w:textAlignment w:val="center"/>
              <w:rPr>
                <w:rFonts w:hint="eastAsia" w:ascii="仿宋_GB2312" w:hAnsi="仿宋_GB2312" w:eastAsia="仿宋_GB2312" w:cs="仿宋_GB2312"/>
                <w:color w:val="000000"/>
                <w:sz w:val="24"/>
              </w:rPr>
            </w:pPr>
          </w:p>
        </w:tc>
        <w:tc>
          <w:tcPr>
            <w:tcW w:w="1080" w:type="dxa"/>
            <w:gridSpan w:val="2"/>
            <w:noWrap w:val="0"/>
            <w:vAlign w:val="center"/>
          </w:tcPr>
          <w:p w14:paraId="0DC960FD">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888.87</w:t>
            </w:r>
          </w:p>
        </w:tc>
        <w:tc>
          <w:tcPr>
            <w:tcW w:w="1705" w:type="dxa"/>
            <w:gridSpan w:val="2"/>
            <w:noWrap w:val="0"/>
            <w:vAlign w:val="center"/>
          </w:tcPr>
          <w:p w14:paraId="188B0D84">
            <w:pPr>
              <w:autoSpaceDN w:val="0"/>
              <w:spacing w:line="320" w:lineRule="exact"/>
              <w:jc w:val="left"/>
              <w:textAlignment w:val="center"/>
              <w:rPr>
                <w:rFonts w:hint="eastAsia" w:ascii="仿宋_GB2312" w:hAnsi="仿宋_GB2312" w:eastAsia="仿宋_GB2312" w:cs="仿宋_GB2312"/>
                <w:color w:val="000000"/>
                <w:sz w:val="24"/>
              </w:rPr>
            </w:pPr>
          </w:p>
        </w:tc>
        <w:tc>
          <w:tcPr>
            <w:tcW w:w="1800" w:type="dxa"/>
            <w:gridSpan w:val="4"/>
            <w:noWrap w:val="0"/>
            <w:vAlign w:val="center"/>
          </w:tcPr>
          <w:p w14:paraId="0436C600">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3"/>
            <w:noWrap w:val="0"/>
            <w:vAlign w:val="center"/>
          </w:tcPr>
          <w:p w14:paraId="7506353A">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97815.81</w:t>
            </w:r>
          </w:p>
        </w:tc>
      </w:tr>
      <w:tr w14:paraId="30695E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2"/>
            <w:noWrap w:val="0"/>
            <w:vAlign w:val="center"/>
          </w:tcPr>
          <w:p w14:paraId="6D148B98">
            <w:pPr>
              <w:spacing w:line="320" w:lineRule="exact"/>
              <w:jc w:val="left"/>
              <w:rPr>
                <w:rFonts w:hint="eastAsia" w:ascii="仿宋_GB2312" w:hAnsi="仿宋_GB2312" w:eastAsia="仿宋_GB2312" w:cs="仿宋_GB2312"/>
                <w:color w:val="000000"/>
                <w:sz w:val="24"/>
              </w:rPr>
            </w:pPr>
            <w:r>
              <w:rPr>
                <w:rFonts w:hint="eastAsia" w:ascii="仿宋_GB2312" w:hAnsi="仿宋_GB2312" w:eastAsia="仿宋_GB2312" w:cs="仿宋_GB2312"/>
                <w:sz w:val="24"/>
              </w:rPr>
              <w:t>3、二级机构2</w:t>
            </w:r>
          </w:p>
        </w:tc>
        <w:tc>
          <w:tcPr>
            <w:tcW w:w="1174" w:type="dxa"/>
            <w:gridSpan w:val="2"/>
            <w:tcBorders>
              <w:right w:val="single" w:color="auto" w:sz="4" w:space="0"/>
            </w:tcBorders>
            <w:noWrap w:val="0"/>
            <w:vAlign w:val="center"/>
          </w:tcPr>
          <w:p w14:paraId="7BE53BE3">
            <w:pPr>
              <w:autoSpaceDN w:val="0"/>
              <w:spacing w:line="320" w:lineRule="exact"/>
              <w:jc w:val="left"/>
              <w:textAlignment w:val="center"/>
              <w:rPr>
                <w:rFonts w:hint="eastAsia" w:ascii="仿宋_GB2312" w:hAnsi="仿宋_GB2312" w:eastAsia="仿宋_GB2312" w:cs="仿宋_GB2312"/>
                <w:color w:val="000000"/>
                <w:sz w:val="24"/>
              </w:rPr>
            </w:pPr>
          </w:p>
        </w:tc>
        <w:tc>
          <w:tcPr>
            <w:tcW w:w="1261" w:type="dxa"/>
            <w:gridSpan w:val="2"/>
            <w:tcBorders>
              <w:left w:val="single" w:color="auto" w:sz="4" w:space="0"/>
            </w:tcBorders>
            <w:noWrap w:val="0"/>
            <w:vAlign w:val="center"/>
          </w:tcPr>
          <w:p w14:paraId="3B02BC68">
            <w:pPr>
              <w:autoSpaceDN w:val="0"/>
              <w:spacing w:line="320" w:lineRule="exact"/>
              <w:jc w:val="left"/>
              <w:textAlignment w:val="center"/>
              <w:rPr>
                <w:rFonts w:hint="eastAsia" w:ascii="仿宋_GB2312" w:hAnsi="仿宋_GB2312" w:eastAsia="仿宋_GB2312" w:cs="仿宋_GB2312"/>
                <w:color w:val="000000"/>
                <w:sz w:val="24"/>
              </w:rPr>
            </w:pPr>
          </w:p>
        </w:tc>
        <w:tc>
          <w:tcPr>
            <w:tcW w:w="1080" w:type="dxa"/>
            <w:gridSpan w:val="2"/>
            <w:noWrap w:val="0"/>
            <w:vAlign w:val="center"/>
          </w:tcPr>
          <w:p w14:paraId="6DCD835C">
            <w:pPr>
              <w:autoSpaceDN w:val="0"/>
              <w:spacing w:line="320" w:lineRule="exact"/>
              <w:jc w:val="left"/>
              <w:textAlignment w:val="center"/>
              <w:rPr>
                <w:rFonts w:hint="eastAsia" w:ascii="仿宋_GB2312" w:hAnsi="仿宋_GB2312" w:eastAsia="仿宋_GB2312" w:cs="仿宋_GB2312"/>
                <w:color w:val="000000"/>
                <w:sz w:val="24"/>
              </w:rPr>
            </w:pPr>
          </w:p>
        </w:tc>
        <w:tc>
          <w:tcPr>
            <w:tcW w:w="1705" w:type="dxa"/>
            <w:gridSpan w:val="2"/>
            <w:noWrap w:val="0"/>
            <w:vAlign w:val="center"/>
          </w:tcPr>
          <w:p w14:paraId="133B08DF">
            <w:pPr>
              <w:autoSpaceDN w:val="0"/>
              <w:spacing w:line="320" w:lineRule="exact"/>
              <w:jc w:val="left"/>
              <w:textAlignment w:val="center"/>
              <w:rPr>
                <w:rFonts w:hint="eastAsia" w:ascii="仿宋_GB2312" w:hAnsi="仿宋_GB2312" w:eastAsia="仿宋_GB2312" w:cs="仿宋_GB2312"/>
                <w:color w:val="000000"/>
                <w:sz w:val="24"/>
              </w:rPr>
            </w:pPr>
          </w:p>
        </w:tc>
        <w:tc>
          <w:tcPr>
            <w:tcW w:w="1800" w:type="dxa"/>
            <w:gridSpan w:val="4"/>
            <w:noWrap w:val="0"/>
            <w:vAlign w:val="center"/>
          </w:tcPr>
          <w:p w14:paraId="44412EEA">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3"/>
            <w:noWrap w:val="0"/>
            <w:vAlign w:val="center"/>
          </w:tcPr>
          <w:p w14:paraId="2CFC6F5E">
            <w:pPr>
              <w:autoSpaceDN w:val="0"/>
              <w:spacing w:line="320" w:lineRule="exact"/>
              <w:jc w:val="left"/>
              <w:textAlignment w:val="center"/>
              <w:rPr>
                <w:rFonts w:hint="eastAsia" w:ascii="仿宋_GB2312" w:hAnsi="仿宋_GB2312" w:eastAsia="仿宋_GB2312" w:cs="仿宋_GB2312"/>
                <w:color w:val="000000"/>
                <w:sz w:val="24"/>
              </w:rPr>
            </w:pPr>
          </w:p>
        </w:tc>
      </w:tr>
      <w:tr w14:paraId="724EE5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9800" w:type="dxa"/>
            <w:gridSpan w:val="17"/>
            <w:noWrap w:val="0"/>
            <w:vAlign w:val="center"/>
          </w:tcPr>
          <w:p w14:paraId="6E26AA6B">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部门（单位）年度支出和结余情况（万元）</w:t>
            </w:r>
          </w:p>
        </w:tc>
      </w:tr>
      <w:tr w14:paraId="384F4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2"/>
            <w:vMerge w:val="restart"/>
            <w:noWrap w:val="0"/>
            <w:vAlign w:val="center"/>
          </w:tcPr>
          <w:p w14:paraId="586EFD37">
            <w:pPr>
              <w:snapToGrid w:val="0"/>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机构名称</w:t>
            </w:r>
          </w:p>
        </w:tc>
        <w:tc>
          <w:tcPr>
            <w:tcW w:w="1174" w:type="dxa"/>
            <w:gridSpan w:val="2"/>
            <w:vMerge w:val="restart"/>
            <w:tcBorders>
              <w:right w:val="single" w:color="auto" w:sz="4" w:space="0"/>
            </w:tcBorders>
            <w:noWrap w:val="0"/>
            <w:vAlign w:val="center"/>
          </w:tcPr>
          <w:p w14:paraId="411B328C">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支出合计</w:t>
            </w:r>
          </w:p>
        </w:tc>
        <w:tc>
          <w:tcPr>
            <w:tcW w:w="5581" w:type="dxa"/>
            <w:gridSpan w:val="9"/>
            <w:tcBorders>
              <w:left w:val="single" w:color="auto" w:sz="4" w:space="0"/>
              <w:bottom w:val="single" w:color="auto" w:sz="4" w:space="0"/>
              <w:right w:val="single" w:color="auto" w:sz="4" w:space="0"/>
            </w:tcBorders>
            <w:noWrap w:val="0"/>
            <w:vAlign w:val="center"/>
          </w:tcPr>
          <w:p w14:paraId="4E8ED31C">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1345" w:type="dxa"/>
            <w:gridSpan w:val="4"/>
            <w:tcBorders>
              <w:left w:val="single" w:color="auto" w:sz="4" w:space="0"/>
              <w:bottom w:val="single" w:color="auto" w:sz="4" w:space="0"/>
            </w:tcBorders>
            <w:noWrap w:val="0"/>
            <w:vAlign w:val="center"/>
          </w:tcPr>
          <w:p w14:paraId="10ED2111">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结余</w:t>
            </w:r>
          </w:p>
        </w:tc>
      </w:tr>
      <w:tr w14:paraId="74041C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2"/>
            <w:vMerge w:val="continue"/>
            <w:noWrap w:val="0"/>
            <w:vAlign w:val="center"/>
          </w:tcPr>
          <w:p w14:paraId="28518E87">
            <w:pPr>
              <w:spacing w:line="320" w:lineRule="exact"/>
              <w:jc w:val="center"/>
              <w:rPr>
                <w:rFonts w:hint="eastAsia" w:ascii="仿宋_GB2312" w:hAnsi="仿宋_GB2312" w:eastAsia="仿宋_GB2312" w:cs="仿宋_GB2312"/>
                <w:sz w:val="24"/>
              </w:rPr>
            </w:pPr>
          </w:p>
        </w:tc>
        <w:tc>
          <w:tcPr>
            <w:tcW w:w="1174" w:type="dxa"/>
            <w:gridSpan w:val="2"/>
            <w:vMerge w:val="continue"/>
            <w:tcBorders>
              <w:right w:val="single" w:color="auto" w:sz="4" w:space="0"/>
            </w:tcBorders>
            <w:noWrap w:val="0"/>
            <w:vAlign w:val="center"/>
          </w:tcPr>
          <w:p w14:paraId="0265100E">
            <w:pPr>
              <w:autoSpaceDN w:val="0"/>
              <w:spacing w:line="320" w:lineRule="exact"/>
              <w:jc w:val="center"/>
              <w:textAlignment w:val="center"/>
              <w:rPr>
                <w:rFonts w:hint="eastAsia" w:ascii="仿宋_GB2312" w:hAnsi="仿宋_GB2312" w:eastAsia="仿宋_GB2312" w:cs="仿宋_GB2312"/>
                <w:color w:val="000000"/>
                <w:sz w:val="24"/>
              </w:rPr>
            </w:pPr>
          </w:p>
        </w:tc>
        <w:tc>
          <w:tcPr>
            <w:tcW w:w="1261" w:type="dxa"/>
            <w:gridSpan w:val="2"/>
            <w:vMerge w:val="restart"/>
            <w:tcBorders>
              <w:top w:val="single" w:color="auto" w:sz="4" w:space="0"/>
              <w:left w:val="single" w:color="auto" w:sz="4" w:space="0"/>
            </w:tcBorders>
            <w:noWrap w:val="0"/>
            <w:vAlign w:val="center"/>
          </w:tcPr>
          <w:p w14:paraId="29C13C81">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基本支出</w:t>
            </w:r>
          </w:p>
        </w:tc>
        <w:tc>
          <w:tcPr>
            <w:tcW w:w="3240" w:type="dxa"/>
            <w:gridSpan w:val="6"/>
            <w:tcBorders>
              <w:top w:val="single" w:color="auto" w:sz="4" w:space="0"/>
            </w:tcBorders>
            <w:noWrap w:val="0"/>
            <w:vAlign w:val="center"/>
          </w:tcPr>
          <w:p w14:paraId="7DABBAE0">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1080" w:type="dxa"/>
            <w:vMerge w:val="restart"/>
            <w:tcBorders>
              <w:top w:val="single" w:color="auto" w:sz="4" w:space="0"/>
              <w:right w:val="single" w:color="auto" w:sz="4" w:space="0"/>
            </w:tcBorders>
            <w:noWrap w:val="0"/>
            <w:vAlign w:val="center"/>
          </w:tcPr>
          <w:p w14:paraId="425FADA9">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项目支出</w:t>
            </w:r>
          </w:p>
        </w:tc>
        <w:tc>
          <w:tcPr>
            <w:tcW w:w="720" w:type="dxa"/>
            <w:gridSpan w:val="3"/>
            <w:vMerge w:val="restart"/>
            <w:tcBorders>
              <w:top w:val="single" w:color="auto" w:sz="4" w:space="0"/>
              <w:left w:val="single" w:color="auto" w:sz="4" w:space="0"/>
              <w:right w:val="single" w:color="auto" w:sz="4" w:space="0"/>
            </w:tcBorders>
            <w:noWrap w:val="0"/>
            <w:vAlign w:val="center"/>
          </w:tcPr>
          <w:p w14:paraId="2F85F1D8">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当年结余</w:t>
            </w:r>
          </w:p>
        </w:tc>
        <w:tc>
          <w:tcPr>
            <w:tcW w:w="625" w:type="dxa"/>
            <w:vMerge w:val="restart"/>
            <w:tcBorders>
              <w:top w:val="single" w:color="auto" w:sz="4" w:space="0"/>
              <w:left w:val="single" w:color="auto" w:sz="4" w:space="0"/>
            </w:tcBorders>
            <w:noWrap w:val="0"/>
            <w:vAlign w:val="center"/>
          </w:tcPr>
          <w:p w14:paraId="4EDF776F">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累计结余</w:t>
            </w:r>
          </w:p>
        </w:tc>
      </w:tr>
      <w:tr w14:paraId="258DDA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2"/>
            <w:vMerge w:val="continue"/>
            <w:noWrap w:val="0"/>
            <w:vAlign w:val="center"/>
          </w:tcPr>
          <w:p w14:paraId="36782E60">
            <w:pPr>
              <w:spacing w:line="320" w:lineRule="exact"/>
              <w:jc w:val="center"/>
              <w:rPr>
                <w:rFonts w:hint="eastAsia" w:ascii="仿宋_GB2312" w:hAnsi="仿宋_GB2312" w:eastAsia="仿宋_GB2312" w:cs="仿宋_GB2312"/>
                <w:sz w:val="24"/>
              </w:rPr>
            </w:pPr>
          </w:p>
        </w:tc>
        <w:tc>
          <w:tcPr>
            <w:tcW w:w="1174" w:type="dxa"/>
            <w:gridSpan w:val="2"/>
            <w:vMerge w:val="continue"/>
            <w:tcBorders>
              <w:right w:val="single" w:color="auto" w:sz="4" w:space="0"/>
            </w:tcBorders>
            <w:noWrap w:val="0"/>
            <w:vAlign w:val="center"/>
          </w:tcPr>
          <w:p w14:paraId="44AA01E3">
            <w:pPr>
              <w:autoSpaceDN w:val="0"/>
              <w:spacing w:line="320" w:lineRule="exact"/>
              <w:jc w:val="center"/>
              <w:textAlignment w:val="center"/>
              <w:rPr>
                <w:rFonts w:hint="eastAsia" w:ascii="仿宋_GB2312" w:hAnsi="仿宋_GB2312" w:eastAsia="仿宋_GB2312" w:cs="仿宋_GB2312"/>
                <w:color w:val="000000"/>
                <w:sz w:val="24"/>
              </w:rPr>
            </w:pPr>
          </w:p>
        </w:tc>
        <w:tc>
          <w:tcPr>
            <w:tcW w:w="1261" w:type="dxa"/>
            <w:gridSpan w:val="2"/>
            <w:vMerge w:val="continue"/>
            <w:tcBorders>
              <w:left w:val="single" w:color="auto" w:sz="4" w:space="0"/>
            </w:tcBorders>
            <w:noWrap w:val="0"/>
            <w:vAlign w:val="center"/>
          </w:tcPr>
          <w:p w14:paraId="1CA1115B">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noWrap w:val="0"/>
            <w:vAlign w:val="center"/>
          </w:tcPr>
          <w:p w14:paraId="1C546070">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人员支出</w:t>
            </w:r>
          </w:p>
        </w:tc>
        <w:tc>
          <w:tcPr>
            <w:tcW w:w="2160" w:type="dxa"/>
            <w:gridSpan w:val="4"/>
            <w:noWrap w:val="0"/>
            <w:vAlign w:val="center"/>
          </w:tcPr>
          <w:p w14:paraId="286591CF">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公用支出</w:t>
            </w:r>
          </w:p>
        </w:tc>
        <w:tc>
          <w:tcPr>
            <w:tcW w:w="1080" w:type="dxa"/>
            <w:vMerge w:val="continue"/>
            <w:tcBorders>
              <w:right w:val="single" w:color="auto" w:sz="4" w:space="0"/>
            </w:tcBorders>
            <w:noWrap w:val="0"/>
            <w:vAlign w:val="center"/>
          </w:tcPr>
          <w:p w14:paraId="654FF5AD">
            <w:pPr>
              <w:autoSpaceDN w:val="0"/>
              <w:spacing w:line="320" w:lineRule="exact"/>
              <w:jc w:val="center"/>
              <w:textAlignment w:val="center"/>
              <w:rPr>
                <w:rFonts w:hint="eastAsia" w:ascii="仿宋_GB2312" w:hAnsi="仿宋_GB2312" w:eastAsia="仿宋_GB2312" w:cs="仿宋_GB2312"/>
                <w:color w:val="000000"/>
                <w:sz w:val="24"/>
              </w:rPr>
            </w:pPr>
          </w:p>
        </w:tc>
        <w:tc>
          <w:tcPr>
            <w:tcW w:w="720" w:type="dxa"/>
            <w:gridSpan w:val="3"/>
            <w:vMerge w:val="continue"/>
            <w:tcBorders>
              <w:left w:val="single" w:color="auto" w:sz="4" w:space="0"/>
              <w:right w:val="single" w:color="auto" w:sz="4" w:space="0"/>
            </w:tcBorders>
            <w:noWrap w:val="0"/>
            <w:vAlign w:val="center"/>
          </w:tcPr>
          <w:p w14:paraId="6BED2B3B">
            <w:pPr>
              <w:autoSpaceDN w:val="0"/>
              <w:spacing w:line="320" w:lineRule="exact"/>
              <w:jc w:val="center"/>
              <w:textAlignment w:val="center"/>
              <w:rPr>
                <w:rFonts w:hint="eastAsia" w:ascii="仿宋_GB2312" w:hAnsi="仿宋_GB2312" w:eastAsia="仿宋_GB2312" w:cs="仿宋_GB2312"/>
                <w:color w:val="000000"/>
                <w:sz w:val="24"/>
              </w:rPr>
            </w:pPr>
          </w:p>
        </w:tc>
        <w:tc>
          <w:tcPr>
            <w:tcW w:w="625" w:type="dxa"/>
            <w:vMerge w:val="continue"/>
            <w:tcBorders>
              <w:left w:val="single" w:color="auto" w:sz="4" w:space="0"/>
            </w:tcBorders>
            <w:noWrap w:val="0"/>
            <w:vAlign w:val="center"/>
          </w:tcPr>
          <w:p w14:paraId="61674DFD">
            <w:pPr>
              <w:autoSpaceDN w:val="0"/>
              <w:spacing w:line="320" w:lineRule="exact"/>
              <w:jc w:val="center"/>
              <w:textAlignment w:val="center"/>
              <w:rPr>
                <w:rFonts w:hint="eastAsia" w:ascii="仿宋_GB2312" w:hAnsi="仿宋_GB2312" w:eastAsia="仿宋_GB2312" w:cs="仿宋_GB2312"/>
                <w:color w:val="000000"/>
                <w:sz w:val="24"/>
              </w:rPr>
            </w:pPr>
          </w:p>
        </w:tc>
      </w:tr>
      <w:tr w14:paraId="36985B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77" w:hRule="atLeast"/>
          <w:jc w:val="center"/>
        </w:trPr>
        <w:tc>
          <w:tcPr>
            <w:tcW w:w="1700" w:type="dxa"/>
            <w:gridSpan w:val="2"/>
            <w:noWrap w:val="0"/>
            <w:vAlign w:val="center"/>
          </w:tcPr>
          <w:p w14:paraId="0C09B26E">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color w:val="000000"/>
                <w:sz w:val="24"/>
              </w:rPr>
              <w:t>局机关及二级机构汇总</w:t>
            </w:r>
          </w:p>
        </w:tc>
        <w:tc>
          <w:tcPr>
            <w:tcW w:w="1174" w:type="dxa"/>
            <w:gridSpan w:val="2"/>
            <w:tcBorders>
              <w:right w:val="single" w:color="auto" w:sz="4" w:space="0"/>
            </w:tcBorders>
            <w:noWrap w:val="0"/>
            <w:vAlign w:val="center"/>
          </w:tcPr>
          <w:p w14:paraId="4E0CC275">
            <w:pPr>
              <w:autoSpaceDN w:val="0"/>
              <w:spacing w:line="320" w:lineRule="exact"/>
              <w:jc w:val="center"/>
              <w:textAlignment w:val="center"/>
              <w:rPr>
                <w:rFonts w:hint="eastAsia" w:ascii="仿宋_GB2312" w:hAnsi="仿宋_GB2312" w:eastAsia="仿宋_GB2312" w:cs="仿宋_GB2312"/>
                <w:color w:val="000000"/>
                <w:sz w:val="24"/>
              </w:rPr>
            </w:pPr>
          </w:p>
        </w:tc>
        <w:tc>
          <w:tcPr>
            <w:tcW w:w="1261" w:type="dxa"/>
            <w:gridSpan w:val="2"/>
            <w:tcBorders>
              <w:left w:val="single" w:color="auto" w:sz="4" w:space="0"/>
            </w:tcBorders>
            <w:noWrap w:val="0"/>
            <w:vAlign w:val="center"/>
          </w:tcPr>
          <w:p w14:paraId="5CA60763">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noWrap w:val="0"/>
            <w:vAlign w:val="center"/>
          </w:tcPr>
          <w:p w14:paraId="3F4D725A">
            <w:pPr>
              <w:autoSpaceDN w:val="0"/>
              <w:spacing w:line="320" w:lineRule="exact"/>
              <w:jc w:val="center"/>
              <w:textAlignment w:val="center"/>
              <w:rPr>
                <w:rFonts w:hint="eastAsia" w:ascii="仿宋_GB2312" w:hAnsi="仿宋_GB2312" w:eastAsia="仿宋_GB2312" w:cs="仿宋_GB2312"/>
                <w:color w:val="000000"/>
                <w:sz w:val="24"/>
              </w:rPr>
            </w:pPr>
          </w:p>
        </w:tc>
        <w:tc>
          <w:tcPr>
            <w:tcW w:w="2160" w:type="dxa"/>
            <w:gridSpan w:val="4"/>
            <w:noWrap w:val="0"/>
            <w:vAlign w:val="center"/>
          </w:tcPr>
          <w:p w14:paraId="657CBD15">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noWrap w:val="0"/>
            <w:vAlign w:val="center"/>
          </w:tcPr>
          <w:p w14:paraId="00AC908B">
            <w:pPr>
              <w:autoSpaceDN w:val="0"/>
              <w:spacing w:line="320" w:lineRule="exact"/>
              <w:jc w:val="center"/>
              <w:textAlignment w:val="center"/>
              <w:rPr>
                <w:rFonts w:hint="eastAsia" w:ascii="仿宋_GB2312" w:hAnsi="仿宋_GB2312" w:eastAsia="仿宋_GB2312" w:cs="仿宋_GB2312"/>
                <w:color w:val="000000"/>
                <w:sz w:val="24"/>
              </w:rPr>
            </w:pPr>
          </w:p>
        </w:tc>
        <w:tc>
          <w:tcPr>
            <w:tcW w:w="720" w:type="dxa"/>
            <w:gridSpan w:val="3"/>
            <w:tcBorders>
              <w:right w:val="single" w:color="auto" w:sz="4" w:space="0"/>
            </w:tcBorders>
            <w:noWrap w:val="0"/>
            <w:vAlign w:val="center"/>
          </w:tcPr>
          <w:p w14:paraId="36F688B4">
            <w:pPr>
              <w:autoSpaceDN w:val="0"/>
              <w:spacing w:line="320" w:lineRule="exact"/>
              <w:jc w:val="center"/>
              <w:textAlignment w:val="center"/>
              <w:rPr>
                <w:rFonts w:hint="eastAsia" w:ascii="仿宋_GB2312" w:hAnsi="仿宋_GB2312" w:eastAsia="仿宋_GB2312" w:cs="仿宋_GB2312"/>
                <w:color w:val="000000"/>
                <w:sz w:val="24"/>
              </w:rPr>
            </w:pPr>
          </w:p>
        </w:tc>
        <w:tc>
          <w:tcPr>
            <w:tcW w:w="625" w:type="dxa"/>
            <w:tcBorders>
              <w:left w:val="single" w:color="auto" w:sz="4" w:space="0"/>
            </w:tcBorders>
            <w:noWrap w:val="0"/>
            <w:vAlign w:val="center"/>
          </w:tcPr>
          <w:p w14:paraId="6B32775D">
            <w:pPr>
              <w:autoSpaceDN w:val="0"/>
              <w:spacing w:line="320" w:lineRule="exact"/>
              <w:jc w:val="center"/>
              <w:textAlignment w:val="center"/>
              <w:rPr>
                <w:rFonts w:hint="eastAsia" w:ascii="仿宋_GB2312" w:hAnsi="仿宋_GB2312" w:eastAsia="仿宋_GB2312" w:cs="仿宋_GB2312"/>
                <w:color w:val="000000"/>
                <w:sz w:val="24"/>
              </w:rPr>
            </w:pPr>
          </w:p>
        </w:tc>
      </w:tr>
      <w:tr w14:paraId="33A09B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2"/>
            <w:noWrap w:val="0"/>
            <w:vAlign w:val="center"/>
          </w:tcPr>
          <w:p w14:paraId="7C0A827D">
            <w:pPr>
              <w:spacing w:line="320" w:lineRule="exact"/>
              <w:jc w:val="left"/>
              <w:rPr>
                <w:rFonts w:hint="eastAsia" w:ascii="仿宋_GB2312" w:hAnsi="仿宋_GB2312" w:eastAsia="仿宋_GB2312" w:cs="仿宋_GB2312"/>
                <w:color w:val="000000"/>
                <w:sz w:val="24"/>
              </w:rPr>
            </w:pPr>
            <w:r>
              <w:rPr>
                <w:rFonts w:hint="eastAsia" w:ascii="仿宋_GB2312" w:hAnsi="仿宋_GB2312" w:eastAsia="仿宋_GB2312" w:cs="仿宋_GB2312"/>
                <w:sz w:val="24"/>
              </w:rPr>
              <w:t>1、局机关</w:t>
            </w:r>
          </w:p>
        </w:tc>
        <w:tc>
          <w:tcPr>
            <w:tcW w:w="1174" w:type="dxa"/>
            <w:gridSpan w:val="2"/>
            <w:tcBorders>
              <w:right w:val="single" w:color="auto" w:sz="4" w:space="0"/>
            </w:tcBorders>
            <w:noWrap w:val="0"/>
            <w:vAlign w:val="center"/>
          </w:tcPr>
          <w:p w14:paraId="4264D21B">
            <w:pPr>
              <w:autoSpaceDN w:val="0"/>
              <w:spacing w:line="320" w:lineRule="exact"/>
              <w:jc w:val="center"/>
              <w:textAlignment w:val="center"/>
              <w:rPr>
                <w:rFonts w:hint="eastAsia" w:ascii="仿宋_GB2312" w:hAnsi="仿宋_GB2312" w:eastAsia="仿宋_GB2312" w:cs="仿宋_GB2312"/>
                <w:color w:val="000000"/>
                <w:sz w:val="24"/>
              </w:rPr>
            </w:pPr>
          </w:p>
        </w:tc>
        <w:tc>
          <w:tcPr>
            <w:tcW w:w="1261" w:type="dxa"/>
            <w:gridSpan w:val="2"/>
            <w:tcBorders>
              <w:left w:val="single" w:color="auto" w:sz="4" w:space="0"/>
            </w:tcBorders>
            <w:noWrap w:val="0"/>
            <w:vAlign w:val="center"/>
          </w:tcPr>
          <w:p w14:paraId="72B20BA4">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noWrap w:val="0"/>
            <w:vAlign w:val="center"/>
          </w:tcPr>
          <w:p w14:paraId="1C612AFB">
            <w:pPr>
              <w:autoSpaceDN w:val="0"/>
              <w:spacing w:line="320" w:lineRule="exact"/>
              <w:jc w:val="center"/>
              <w:textAlignment w:val="center"/>
              <w:rPr>
                <w:rFonts w:hint="eastAsia" w:ascii="仿宋_GB2312" w:hAnsi="仿宋_GB2312" w:eastAsia="仿宋_GB2312" w:cs="仿宋_GB2312"/>
                <w:color w:val="000000"/>
                <w:sz w:val="24"/>
              </w:rPr>
            </w:pPr>
          </w:p>
        </w:tc>
        <w:tc>
          <w:tcPr>
            <w:tcW w:w="2160" w:type="dxa"/>
            <w:gridSpan w:val="4"/>
            <w:noWrap w:val="0"/>
            <w:vAlign w:val="center"/>
          </w:tcPr>
          <w:p w14:paraId="67045A31">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noWrap w:val="0"/>
            <w:vAlign w:val="center"/>
          </w:tcPr>
          <w:p w14:paraId="7B9314AD">
            <w:pPr>
              <w:autoSpaceDN w:val="0"/>
              <w:spacing w:line="320" w:lineRule="exact"/>
              <w:jc w:val="center"/>
              <w:textAlignment w:val="center"/>
              <w:rPr>
                <w:rFonts w:hint="eastAsia" w:ascii="仿宋_GB2312" w:hAnsi="仿宋_GB2312" w:eastAsia="仿宋_GB2312" w:cs="仿宋_GB2312"/>
                <w:color w:val="000000"/>
                <w:sz w:val="24"/>
              </w:rPr>
            </w:pPr>
          </w:p>
        </w:tc>
        <w:tc>
          <w:tcPr>
            <w:tcW w:w="720" w:type="dxa"/>
            <w:gridSpan w:val="3"/>
            <w:tcBorders>
              <w:right w:val="single" w:color="auto" w:sz="4" w:space="0"/>
            </w:tcBorders>
            <w:noWrap w:val="0"/>
            <w:vAlign w:val="center"/>
          </w:tcPr>
          <w:p w14:paraId="01CFA7E7">
            <w:pPr>
              <w:autoSpaceDN w:val="0"/>
              <w:spacing w:line="320" w:lineRule="exact"/>
              <w:jc w:val="center"/>
              <w:textAlignment w:val="center"/>
              <w:rPr>
                <w:rFonts w:hint="eastAsia" w:ascii="仿宋_GB2312" w:hAnsi="仿宋_GB2312" w:eastAsia="仿宋_GB2312" w:cs="仿宋_GB2312"/>
                <w:color w:val="000000"/>
                <w:sz w:val="24"/>
              </w:rPr>
            </w:pPr>
          </w:p>
        </w:tc>
        <w:tc>
          <w:tcPr>
            <w:tcW w:w="625" w:type="dxa"/>
            <w:tcBorders>
              <w:left w:val="single" w:color="auto" w:sz="4" w:space="0"/>
            </w:tcBorders>
            <w:noWrap w:val="0"/>
            <w:vAlign w:val="center"/>
          </w:tcPr>
          <w:p w14:paraId="06620EFC">
            <w:pPr>
              <w:autoSpaceDN w:val="0"/>
              <w:spacing w:line="320" w:lineRule="exact"/>
              <w:jc w:val="center"/>
              <w:textAlignment w:val="center"/>
              <w:rPr>
                <w:rFonts w:hint="eastAsia" w:ascii="仿宋_GB2312" w:hAnsi="仿宋_GB2312" w:eastAsia="仿宋_GB2312" w:cs="仿宋_GB2312"/>
                <w:color w:val="000000"/>
                <w:sz w:val="24"/>
              </w:rPr>
            </w:pPr>
          </w:p>
        </w:tc>
      </w:tr>
      <w:tr w14:paraId="3F0CED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2"/>
            <w:noWrap w:val="0"/>
            <w:vAlign w:val="center"/>
          </w:tcPr>
          <w:p w14:paraId="5F9905D7">
            <w:pPr>
              <w:spacing w:line="320" w:lineRule="exact"/>
              <w:jc w:val="left"/>
              <w:rPr>
                <w:rFonts w:hint="eastAsia" w:ascii="仿宋_GB2312" w:hAnsi="仿宋_GB2312" w:eastAsia="仿宋_GB2312" w:cs="仿宋_GB2312"/>
                <w:color w:val="000000"/>
                <w:sz w:val="24"/>
              </w:rPr>
            </w:pPr>
            <w:r>
              <w:rPr>
                <w:rFonts w:hint="eastAsia" w:ascii="仿宋_GB2312" w:hAnsi="仿宋_GB2312" w:eastAsia="仿宋_GB2312" w:cs="仿宋_GB2312"/>
                <w:sz w:val="24"/>
              </w:rPr>
              <w:t>2、市二医院</w:t>
            </w:r>
          </w:p>
        </w:tc>
        <w:tc>
          <w:tcPr>
            <w:tcW w:w="1174" w:type="dxa"/>
            <w:gridSpan w:val="2"/>
            <w:tcBorders>
              <w:right w:val="single" w:color="auto" w:sz="4" w:space="0"/>
            </w:tcBorders>
            <w:noWrap w:val="0"/>
            <w:vAlign w:val="center"/>
          </w:tcPr>
          <w:p w14:paraId="45C4CB32">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98704.67</w:t>
            </w:r>
          </w:p>
        </w:tc>
        <w:tc>
          <w:tcPr>
            <w:tcW w:w="1261" w:type="dxa"/>
            <w:gridSpan w:val="2"/>
            <w:tcBorders>
              <w:left w:val="single" w:color="auto" w:sz="4" w:space="0"/>
            </w:tcBorders>
            <w:noWrap w:val="0"/>
            <w:vAlign w:val="center"/>
          </w:tcPr>
          <w:p w14:paraId="2D481B06">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92579.52</w:t>
            </w:r>
          </w:p>
        </w:tc>
        <w:tc>
          <w:tcPr>
            <w:tcW w:w="1080" w:type="dxa"/>
            <w:gridSpan w:val="2"/>
            <w:noWrap w:val="0"/>
            <w:vAlign w:val="center"/>
          </w:tcPr>
          <w:p w14:paraId="7541E5AF">
            <w:pPr>
              <w:autoSpaceDN w:val="0"/>
              <w:spacing w:line="320" w:lineRule="exact"/>
              <w:jc w:val="center"/>
              <w:textAlignment w:val="center"/>
              <w:rPr>
                <w:rFonts w:hint="eastAsia" w:ascii="仿宋_GB2312" w:hAnsi="仿宋_GB2312" w:eastAsia="仿宋_GB2312" w:cs="仿宋_GB2312"/>
                <w:color w:val="000000"/>
                <w:sz w:val="24"/>
              </w:rPr>
            </w:pPr>
          </w:p>
        </w:tc>
        <w:tc>
          <w:tcPr>
            <w:tcW w:w="2160" w:type="dxa"/>
            <w:gridSpan w:val="4"/>
            <w:noWrap w:val="0"/>
            <w:vAlign w:val="center"/>
          </w:tcPr>
          <w:p w14:paraId="6E35A864">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noWrap w:val="0"/>
            <w:vAlign w:val="center"/>
          </w:tcPr>
          <w:p w14:paraId="0286EC83">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6125.15</w:t>
            </w:r>
          </w:p>
        </w:tc>
        <w:tc>
          <w:tcPr>
            <w:tcW w:w="720" w:type="dxa"/>
            <w:gridSpan w:val="3"/>
            <w:tcBorders>
              <w:right w:val="single" w:color="auto" w:sz="4" w:space="0"/>
            </w:tcBorders>
            <w:noWrap w:val="0"/>
            <w:vAlign w:val="center"/>
          </w:tcPr>
          <w:p w14:paraId="58942774">
            <w:pPr>
              <w:autoSpaceDN w:val="0"/>
              <w:spacing w:line="320" w:lineRule="exact"/>
              <w:jc w:val="center"/>
              <w:textAlignment w:val="center"/>
              <w:rPr>
                <w:rFonts w:hint="eastAsia" w:ascii="仿宋_GB2312" w:hAnsi="仿宋_GB2312" w:eastAsia="仿宋_GB2312" w:cs="仿宋_GB2312"/>
                <w:color w:val="000000"/>
                <w:sz w:val="24"/>
              </w:rPr>
            </w:pPr>
          </w:p>
        </w:tc>
        <w:tc>
          <w:tcPr>
            <w:tcW w:w="625" w:type="dxa"/>
            <w:tcBorders>
              <w:left w:val="single" w:color="auto" w:sz="4" w:space="0"/>
            </w:tcBorders>
            <w:noWrap w:val="0"/>
            <w:vAlign w:val="center"/>
          </w:tcPr>
          <w:p w14:paraId="0C496C5E">
            <w:pPr>
              <w:autoSpaceDN w:val="0"/>
              <w:spacing w:line="320" w:lineRule="exact"/>
              <w:jc w:val="center"/>
              <w:textAlignment w:val="center"/>
              <w:rPr>
                <w:rFonts w:hint="eastAsia" w:ascii="仿宋_GB2312" w:hAnsi="仿宋_GB2312" w:eastAsia="仿宋_GB2312" w:cs="仿宋_GB2312"/>
                <w:color w:val="000000"/>
                <w:sz w:val="24"/>
              </w:rPr>
            </w:pPr>
          </w:p>
        </w:tc>
      </w:tr>
      <w:tr w14:paraId="64D134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2"/>
            <w:noWrap w:val="0"/>
            <w:vAlign w:val="center"/>
          </w:tcPr>
          <w:p w14:paraId="4CA2EE8E">
            <w:pPr>
              <w:spacing w:line="320" w:lineRule="exact"/>
              <w:jc w:val="left"/>
              <w:rPr>
                <w:rFonts w:hint="eastAsia" w:ascii="仿宋_GB2312" w:hAnsi="仿宋_GB2312" w:eastAsia="仿宋_GB2312" w:cs="仿宋_GB2312"/>
                <w:color w:val="000000"/>
                <w:sz w:val="24"/>
              </w:rPr>
            </w:pPr>
            <w:r>
              <w:rPr>
                <w:rFonts w:hint="eastAsia" w:ascii="仿宋_GB2312" w:hAnsi="仿宋_GB2312" w:eastAsia="仿宋_GB2312" w:cs="仿宋_GB2312"/>
                <w:sz w:val="24"/>
              </w:rPr>
              <w:t>3、二级机构2</w:t>
            </w:r>
          </w:p>
        </w:tc>
        <w:tc>
          <w:tcPr>
            <w:tcW w:w="1174" w:type="dxa"/>
            <w:gridSpan w:val="2"/>
            <w:tcBorders>
              <w:right w:val="single" w:color="auto" w:sz="4" w:space="0"/>
            </w:tcBorders>
            <w:noWrap w:val="0"/>
            <w:vAlign w:val="center"/>
          </w:tcPr>
          <w:p w14:paraId="680BF930">
            <w:pPr>
              <w:autoSpaceDN w:val="0"/>
              <w:spacing w:line="320" w:lineRule="exact"/>
              <w:jc w:val="center"/>
              <w:textAlignment w:val="center"/>
              <w:rPr>
                <w:rFonts w:hint="eastAsia" w:ascii="仿宋_GB2312" w:hAnsi="仿宋_GB2312" w:eastAsia="仿宋_GB2312" w:cs="仿宋_GB2312"/>
                <w:color w:val="000000"/>
                <w:sz w:val="24"/>
              </w:rPr>
            </w:pPr>
          </w:p>
        </w:tc>
        <w:tc>
          <w:tcPr>
            <w:tcW w:w="1261" w:type="dxa"/>
            <w:gridSpan w:val="2"/>
            <w:tcBorders>
              <w:left w:val="single" w:color="auto" w:sz="4" w:space="0"/>
            </w:tcBorders>
            <w:noWrap w:val="0"/>
            <w:vAlign w:val="center"/>
          </w:tcPr>
          <w:p w14:paraId="276B8298">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noWrap w:val="0"/>
            <w:vAlign w:val="center"/>
          </w:tcPr>
          <w:p w14:paraId="681478C0">
            <w:pPr>
              <w:autoSpaceDN w:val="0"/>
              <w:spacing w:line="320" w:lineRule="exact"/>
              <w:jc w:val="center"/>
              <w:textAlignment w:val="center"/>
              <w:rPr>
                <w:rFonts w:hint="eastAsia" w:ascii="仿宋_GB2312" w:hAnsi="仿宋_GB2312" w:eastAsia="仿宋_GB2312" w:cs="仿宋_GB2312"/>
                <w:color w:val="000000"/>
                <w:sz w:val="24"/>
              </w:rPr>
            </w:pPr>
          </w:p>
        </w:tc>
        <w:tc>
          <w:tcPr>
            <w:tcW w:w="2160" w:type="dxa"/>
            <w:gridSpan w:val="4"/>
            <w:noWrap w:val="0"/>
            <w:vAlign w:val="center"/>
          </w:tcPr>
          <w:p w14:paraId="0A689C0E">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noWrap w:val="0"/>
            <w:vAlign w:val="center"/>
          </w:tcPr>
          <w:p w14:paraId="435C1B1D">
            <w:pPr>
              <w:autoSpaceDN w:val="0"/>
              <w:spacing w:line="320" w:lineRule="exact"/>
              <w:jc w:val="center"/>
              <w:textAlignment w:val="center"/>
              <w:rPr>
                <w:rFonts w:hint="eastAsia" w:ascii="仿宋_GB2312" w:hAnsi="仿宋_GB2312" w:eastAsia="仿宋_GB2312" w:cs="仿宋_GB2312"/>
                <w:color w:val="000000"/>
                <w:sz w:val="24"/>
              </w:rPr>
            </w:pPr>
          </w:p>
        </w:tc>
        <w:tc>
          <w:tcPr>
            <w:tcW w:w="720" w:type="dxa"/>
            <w:gridSpan w:val="3"/>
            <w:tcBorders>
              <w:right w:val="single" w:color="auto" w:sz="4" w:space="0"/>
            </w:tcBorders>
            <w:noWrap w:val="0"/>
            <w:vAlign w:val="center"/>
          </w:tcPr>
          <w:p w14:paraId="4B6EF812">
            <w:pPr>
              <w:autoSpaceDN w:val="0"/>
              <w:spacing w:line="320" w:lineRule="exact"/>
              <w:jc w:val="center"/>
              <w:textAlignment w:val="center"/>
              <w:rPr>
                <w:rFonts w:hint="eastAsia" w:ascii="仿宋_GB2312" w:hAnsi="仿宋_GB2312" w:eastAsia="仿宋_GB2312" w:cs="仿宋_GB2312"/>
                <w:color w:val="000000"/>
                <w:sz w:val="24"/>
              </w:rPr>
            </w:pPr>
          </w:p>
        </w:tc>
        <w:tc>
          <w:tcPr>
            <w:tcW w:w="625" w:type="dxa"/>
            <w:tcBorders>
              <w:left w:val="single" w:color="auto" w:sz="4" w:space="0"/>
            </w:tcBorders>
            <w:noWrap w:val="0"/>
            <w:vAlign w:val="center"/>
          </w:tcPr>
          <w:p w14:paraId="16B0E32E">
            <w:pPr>
              <w:autoSpaceDN w:val="0"/>
              <w:spacing w:line="320" w:lineRule="exact"/>
              <w:jc w:val="center"/>
              <w:textAlignment w:val="center"/>
              <w:rPr>
                <w:rFonts w:hint="eastAsia" w:ascii="仿宋_GB2312" w:hAnsi="仿宋_GB2312" w:eastAsia="仿宋_GB2312" w:cs="仿宋_GB2312"/>
                <w:color w:val="000000"/>
                <w:sz w:val="24"/>
              </w:rPr>
            </w:pPr>
          </w:p>
        </w:tc>
      </w:tr>
      <w:tr w14:paraId="054078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2"/>
            <w:vMerge w:val="restart"/>
            <w:noWrap w:val="0"/>
            <w:vAlign w:val="center"/>
          </w:tcPr>
          <w:p w14:paraId="52825A62">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机构名称</w:t>
            </w:r>
          </w:p>
        </w:tc>
        <w:tc>
          <w:tcPr>
            <w:tcW w:w="1174" w:type="dxa"/>
            <w:gridSpan w:val="2"/>
            <w:vMerge w:val="restart"/>
            <w:tcBorders>
              <w:right w:val="single" w:color="auto" w:sz="4" w:space="0"/>
            </w:tcBorders>
            <w:noWrap w:val="0"/>
            <w:vAlign w:val="center"/>
          </w:tcPr>
          <w:p w14:paraId="5A05F027">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三公经费</w:t>
            </w:r>
          </w:p>
          <w:p w14:paraId="6DE3D2FE">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合计</w:t>
            </w:r>
          </w:p>
        </w:tc>
        <w:tc>
          <w:tcPr>
            <w:tcW w:w="6926" w:type="dxa"/>
            <w:gridSpan w:val="13"/>
            <w:tcBorders>
              <w:left w:val="single" w:color="auto" w:sz="4" w:space="0"/>
            </w:tcBorders>
            <w:noWrap w:val="0"/>
            <w:vAlign w:val="center"/>
          </w:tcPr>
          <w:p w14:paraId="7C456C7B">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14:paraId="4C12B9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2"/>
            <w:vMerge w:val="continue"/>
            <w:noWrap w:val="0"/>
            <w:vAlign w:val="center"/>
          </w:tcPr>
          <w:p w14:paraId="7369E19D">
            <w:pPr>
              <w:spacing w:line="320" w:lineRule="exact"/>
              <w:jc w:val="center"/>
              <w:rPr>
                <w:rFonts w:hint="eastAsia" w:ascii="仿宋_GB2312" w:hAnsi="仿宋_GB2312" w:eastAsia="仿宋_GB2312" w:cs="仿宋_GB2312"/>
                <w:sz w:val="24"/>
              </w:rPr>
            </w:pPr>
          </w:p>
        </w:tc>
        <w:tc>
          <w:tcPr>
            <w:tcW w:w="1174" w:type="dxa"/>
            <w:gridSpan w:val="2"/>
            <w:vMerge w:val="continue"/>
            <w:tcBorders>
              <w:right w:val="single" w:color="auto" w:sz="4" w:space="0"/>
            </w:tcBorders>
            <w:noWrap w:val="0"/>
            <w:vAlign w:val="center"/>
          </w:tcPr>
          <w:p w14:paraId="346F7991">
            <w:pPr>
              <w:autoSpaceDN w:val="0"/>
              <w:spacing w:line="320" w:lineRule="exact"/>
              <w:jc w:val="center"/>
              <w:textAlignment w:val="center"/>
              <w:rPr>
                <w:rFonts w:hint="eastAsia" w:ascii="仿宋_GB2312" w:hAnsi="仿宋_GB2312" w:eastAsia="仿宋_GB2312" w:cs="仿宋_GB2312"/>
                <w:color w:val="000000"/>
                <w:sz w:val="24"/>
              </w:rPr>
            </w:pPr>
          </w:p>
        </w:tc>
        <w:tc>
          <w:tcPr>
            <w:tcW w:w="1261" w:type="dxa"/>
            <w:gridSpan w:val="2"/>
            <w:tcBorders>
              <w:left w:val="single" w:color="auto" w:sz="4" w:space="0"/>
            </w:tcBorders>
            <w:noWrap w:val="0"/>
            <w:vAlign w:val="center"/>
          </w:tcPr>
          <w:p w14:paraId="6325BEE1">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公务接待费</w:t>
            </w:r>
          </w:p>
        </w:tc>
        <w:tc>
          <w:tcPr>
            <w:tcW w:w="1080" w:type="dxa"/>
            <w:gridSpan w:val="2"/>
            <w:noWrap w:val="0"/>
            <w:vAlign w:val="center"/>
          </w:tcPr>
          <w:p w14:paraId="59EE8980">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公务用车运维费</w:t>
            </w:r>
          </w:p>
        </w:tc>
        <w:tc>
          <w:tcPr>
            <w:tcW w:w="2160" w:type="dxa"/>
            <w:gridSpan w:val="4"/>
            <w:noWrap w:val="0"/>
            <w:vAlign w:val="center"/>
          </w:tcPr>
          <w:p w14:paraId="20A7FF06">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公务用车购置费</w:t>
            </w:r>
          </w:p>
        </w:tc>
        <w:tc>
          <w:tcPr>
            <w:tcW w:w="2425" w:type="dxa"/>
            <w:gridSpan w:val="5"/>
            <w:noWrap w:val="0"/>
            <w:vAlign w:val="center"/>
          </w:tcPr>
          <w:p w14:paraId="16BF3F0F">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因公出国费</w:t>
            </w:r>
          </w:p>
        </w:tc>
      </w:tr>
      <w:tr w14:paraId="2B54F0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58" w:hRule="atLeast"/>
          <w:jc w:val="center"/>
        </w:trPr>
        <w:tc>
          <w:tcPr>
            <w:tcW w:w="1700" w:type="dxa"/>
            <w:gridSpan w:val="2"/>
            <w:noWrap w:val="0"/>
            <w:vAlign w:val="center"/>
          </w:tcPr>
          <w:p w14:paraId="540A0A4F">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color w:val="000000"/>
                <w:sz w:val="24"/>
              </w:rPr>
              <w:t>局机关及二级机构汇总</w:t>
            </w:r>
          </w:p>
        </w:tc>
        <w:tc>
          <w:tcPr>
            <w:tcW w:w="1174" w:type="dxa"/>
            <w:gridSpan w:val="2"/>
            <w:tcBorders>
              <w:right w:val="single" w:color="auto" w:sz="4" w:space="0"/>
            </w:tcBorders>
            <w:noWrap w:val="0"/>
            <w:vAlign w:val="center"/>
          </w:tcPr>
          <w:p w14:paraId="72BEC380">
            <w:pPr>
              <w:autoSpaceDN w:val="0"/>
              <w:spacing w:line="320" w:lineRule="exact"/>
              <w:jc w:val="center"/>
              <w:textAlignment w:val="center"/>
              <w:rPr>
                <w:rFonts w:hint="eastAsia" w:ascii="仿宋_GB2312" w:hAnsi="仿宋_GB2312" w:eastAsia="仿宋_GB2312" w:cs="仿宋_GB2312"/>
                <w:color w:val="000000"/>
                <w:sz w:val="24"/>
              </w:rPr>
            </w:pPr>
          </w:p>
        </w:tc>
        <w:tc>
          <w:tcPr>
            <w:tcW w:w="1261" w:type="dxa"/>
            <w:gridSpan w:val="2"/>
            <w:tcBorders>
              <w:left w:val="single" w:color="auto" w:sz="4" w:space="0"/>
            </w:tcBorders>
            <w:noWrap w:val="0"/>
            <w:vAlign w:val="center"/>
          </w:tcPr>
          <w:p w14:paraId="792B5BD1">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noWrap w:val="0"/>
            <w:vAlign w:val="center"/>
          </w:tcPr>
          <w:p w14:paraId="2BB6EA2A">
            <w:pPr>
              <w:autoSpaceDN w:val="0"/>
              <w:spacing w:line="320" w:lineRule="exact"/>
              <w:jc w:val="center"/>
              <w:textAlignment w:val="center"/>
              <w:rPr>
                <w:rFonts w:hint="eastAsia" w:ascii="仿宋_GB2312" w:hAnsi="仿宋_GB2312" w:eastAsia="仿宋_GB2312" w:cs="仿宋_GB2312"/>
                <w:color w:val="000000"/>
                <w:sz w:val="24"/>
              </w:rPr>
            </w:pPr>
          </w:p>
        </w:tc>
        <w:tc>
          <w:tcPr>
            <w:tcW w:w="2160" w:type="dxa"/>
            <w:gridSpan w:val="4"/>
            <w:noWrap w:val="0"/>
            <w:vAlign w:val="center"/>
          </w:tcPr>
          <w:p w14:paraId="6E0777E1">
            <w:pPr>
              <w:autoSpaceDN w:val="0"/>
              <w:spacing w:line="320" w:lineRule="exact"/>
              <w:jc w:val="center"/>
              <w:textAlignment w:val="center"/>
              <w:rPr>
                <w:rFonts w:hint="eastAsia" w:ascii="仿宋_GB2312" w:hAnsi="仿宋_GB2312" w:eastAsia="仿宋_GB2312" w:cs="仿宋_GB2312"/>
                <w:color w:val="000000"/>
                <w:sz w:val="24"/>
              </w:rPr>
            </w:pPr>
          </w:p>
        </w:tc>
        <w:tc>
          <w:tcPr>
            <w:tcW w:w="2425" w:type="dxa"/>
            <w:gridSpan w:val="5"/>
            <w:noWrap w:val="0"/>
            <w:vAlign w:val="center"/>
          </w:tcPr>
          <w:p w14:paraId="1916B9F4">
            <w:pPr>
              <w:autoSpaceDN w:val="0"/>
              <w:spacing w:line="320" w:lineRule="exact"/>
              <w:jc w:val="center"/>
              <w:textAlignment w:val="center"/>
              <w:rPr>
                <w:rFonts w:hint="eastAsia" w:ascii="仿宋_GB2312" w:hAnsi="仿宋_GB2312" w:eastAsia="仿宋_GB2312" w:cs="仿宋_GB2312"/>
                <w:color w:val="000000"/>
                <w:sz w:val="24"/>
              </w:rPr>
            </w:pPr>
          </w:p>
        </w:tc>
      </w:tr>
      <w:tr w14:paraId="1D28B2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2"/>
            <w:noWrap w:val="0"/>
            <w:vAlign w:val="center"/>
          </w:tcPr>
          <w:p w14:paraId="2A2E271D">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1、局机关</w:t>
            </w:r>
          </w:p>
        </w:tc>
        <w:tc>
          <w:tcPr>
            <w:tcW w:w="1174" w:type="dxa"/>
            <w:gridSpan w:val="2"/>
            <w:tcBorders>
              <w:right w:val="single" w:color="auto" w:sz="4" w:space="0"/>
            </w:tcBorders>
            <w:noWrap w:val="0"/>
            <w:vAlign w:val="center"/>
          </w:tcPr>
          <w:p w14:paraId="68D7828B">
            <w:pPr>
              <w:autoSpaceDN w:val="0"/>
              <w:spacing w:line="320" w:lineRule="exact"/>
              <w:jc w:val="center"/>
              <w:textAlignment w:val="center"/>
              <w:rPr>
                <w:rFonts w:hint="eastAsia" w:ascii="仿宋_GB2312" w:hAnsi="仿宋_GB2312" w:eastAsia="仿宋_GB2312" w:cs="仿宋_GB2312"/>
                <w:color w:val="000000"/>
                <w:sz w:val="24"/>
              </w:rPr>
            </w:pPr>
          </w:p>
        </w:tc>
        <w:tc>
          <w:tcPr>
            <w:tcW w:w="1261" w:type="dxa"/>
            <w:gridSpan w:val="2"/>
            <w:tcBorders>
              <w:left w:val="single" w:color="auto" w:sz="4" w:space="0"/>
            </w:tcBorders>
            <w:noWrap w:val="0"/>
            <w:vAlign w:val="center"/>
          </w:tcPr>
          <w:p w14:paraId="0655394C">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noWrap w:val="0"/>
            <w:vAlign w:val="center"/>
          </w:tcPr>
          <w:p w14:paraId="63C334FD">
            <w:pPr>
              <w:autoSpaceDN w:val="0"/>
              <w:spacing w:line="320" w:lineRule="exact"/>
              <w:jc w:val="center"/>
              <w:textAlignment w:val="center"/>
              <w:rPr>
                <w:rFonts w:hint="eastAsia" w:ascii="仿宋_GB2312" w:hAnsi="仿宋_GB2312" w:eastAsia="仿宋_GB2312" w:cs="仿宋_GB2312"/>
                <w:color w:val="000000"/>
                <w:sz w:val="24"/>
              </w:rPr>
            </w:pPr>
          </w:p>
        </w:tc>
        <w:tc>
          <w:tcPr>
            <w:tcW w:w="2160" w:type="dxa"/>
            <w:gridSpan w:val="4"/>
            <w:noWrap w:val="0"/>
            <w:vAlign w:val="center"/>
          </w:tcPr>
          <w:p w14:paraId="18018500">
            <w:pPr>
              <w:autoSpaceDN w:val="0"/>
              <w:spacing w:line="320" w:lineRule="exact"/>
              <w:jc w:val="center"/>
              <w:textAlignment w:val="center"/>
              <w:rPr>
                <w:rFonts w:hint="eastAsia" w:ascii="仿宋_GB2312" w:hAnsi="仿宋_GB2312" w:eastAsia="仿宋_GB2312" w:cs="仿宋_GB2312"/>
                <w:color w:val="000000"/>
                <w:sz w:val="24"/>
              </w:rPr>
            </w:pPr>
          </w:p>
        </w:tc>
        <w:tc>
          <w:tcPr>
            <w:tcW w:w="2425" w:type="dxa"/>
            <w:gridSpan w:val="5"/>
            <w:noWrap w:val="0"/>
            <w:vAlign w:val="center"/>
          </w:tcPr>
          <w:p w14:paraId="7CC02BDE">
            <w:pPr>
              <w:autoSpaceDN w:val="0"/>
              <w:spacing w:line="320" w:lineRule="exact"/>
              <w:jc w:val="center"/>
              <w:textAlignment w:val="center"/>
              <w:rPr>
                <w:rFonts w:hint="eastAsia" w:ascii="仿宋_GB2312" w:hAnsi="仿宋_GB2312" w:eastAsia="仿宋_GB2312" w:cs="仿宋_GB2312"/>
                <w:color w:val="000000"/>
                <w:sz w:val="24"/>
              </w:rPr>
            </w:pPr>
          </w:p>
        </w:tc>
      </w:tr>
      <w:tr w14:paraId="7E9572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2"/>
            <w:noWrap w:val="0"/>
            <w:vAlign w:val="center"/>
          </w:tcPr>
          <w:p w14:paraId="46CBF36A">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2、市二医院</w:t>
            </w:r>
          </w:p>
        </w:tc>
        <w:tc>
          <w:tcPr>
            <w:tcW w:w="1174" w:type="dxa"/>
            <w:gridSpan w:val="2"/>
            <w:tcBorders>
              <w:right w:val="single" w:color="auto" w:sz="4" w:space="0"/>
            </w:tcBorders>
            <w:noWrap w:val="0"/>
            <w:vAlign w:val="center"/>
          </w:tcPr>
          <w:p w14:paraId="24153E85">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1261" w:type="dxa"/>
            <w:gridSpan w:val="2"/>
            <w:tcBorders>
              <w:left w:val="single" w:color="auto" w:sz="4" w:space="0"/>
            </w:tcBorders>
            <w:noWrap w:val="0"/>
            <w:vAlign w:val="center"/>
          </w:tcPr>
          <w:p w14:paraId="707D45FF">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1080" w:type="dxa"/>
            <w:gridSpan w:val="2"/>
            <w:noWrap w:val="0"/>
            <w:vAlign w:val="center"/>
          </w:tcPr>
          <w:p w14:paraId="1387FBEA">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w:t>
            </w:r>
          </w:p>
        </w:tc>
        <w:tc>
          <w:tcPr>
            <w:tcW w:w="2160" w:type="dxa"/>
            <w:gridSpan w:val="4"/>
            <w:noWrap w:val="0"/>
            <w:vAlign w:val="center"/>
          </w:tcPr>
          <w:p w14:paraId="68D56016">
            <w:pPr>
              <w:autoSpaceDN w:val="0"/>
              <w:spacing w:line="320" w:lineRule="exact"/>
              <w:jc w:val="center"/>
              <w:textAlignment w:val="center"/>
              <w:rPr>
                <w:rFonts w:hint="eastAsia" w:ascii="仿宋_GB2312" w:hAnsi="仿宋_GB2312" w:eastAsia="仿宋_GB2312" w:cs="仿宋_GB2312"/>
                <w:color w:val="000000"/>
                <w:sz w:val="24"/>
              </w:rPr>
            </w:pPr>
          </w:p>
        </w:tc>
        <w:tc>
          <w:tcPr>
            <w:tcW w:w="2425" w:type="dxa"/>
            <w:gridSpan w:val="5"/>
            <w:noWrap w:val="0"/>
            <w:vAlign w:val="center"/>
          </w:tcPr>
          <w:p w14:paraId="4D398F9A">
            <w:pPr>
              <w:autoSpaceDN w:val="0"/>
              <w:spacing w:line="320" w:lineRule="exact"/>
              <w:jc w:val="center"/>
              <w:textAlignment w:val="center"/>
              <w:rPr>
                <w:rFonts w:hint="eastAsia" w:ascii="仿宋_GB2312" w:hAnsi="仿宋_GB2312" w:eastAsia="仿宋_GB2312" w:cs="仿宋_GB2312"/>
                <w:color w:val="000000"/>
                <w:sz w:val="24"/>
              </w:rPr>
            </w:pPr>
          </w:p>
        </w:tc>
      </w:tr>
      <w:tr w14:paraId="6D4D02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2"/>
            <w:noWrap w:val="0"/>
            <w:vAlign w:val="center"/>
          </w:tcPr>
          <w:p w14:paraId="0D1B3DBE">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3、二级机构2</w:t>
            </w:r>
          </w:p>
        </w:tc>
        <w:tc>
          <w:tcPr>
            <w:tcW w:w="1174" w:type="dxa"/>
            <w:gridSpan w:val="2"/>
            <w:tcBorders>
              <w:right w:val="single" w:color="auto" w:sz="4" w:space="0"/>
            </w:tcBorders>
            <w:noWrap w:val="0"/>
            <w:vAlign w:val="center"/>
          </w:tcPr>
          <w:p w14:paraId="1D0C0B4C">
            <w:pPr>
              <w:autoSpaceDN w:val="0"/>
              <w:spacing w:line="320" w:lineRule="exact"/>
              <w:jc w:val="center"/>
              <w:textAlignment w:val="center"/>
              <w:rPr>
                <w:rFonts w:hint="eastAsia" w:ascii="仿宋_GB2312" w:hAnsi="仿宋_GB2312" w:eastAsia="仿宋_GB2312" w:cs="仿宋_GB2312"/>
                <w:color w:val="000000"/>
                <w:sz w:val="24"/>
              </w:rPr>
            </w:pPr>
          </w:p>
        </w:tc>
        <w:tc>
          <w:tcPr>
            <w:tcW w:w="1261" w:type="dxa"/>
            <w:gridSpan w:val="2"/>
            <w:tcBorders>
              <w:left w:val="single" w:color="auto" w:sz="4" w:space="0"/>
            </w:tcBorders>
            <w:noWrap w:val="0"/>
            <w:vAlign w:val="center"/>
          </w:tcPr>
          <w:p w14:paraId="3C78A0E1">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noWrap w:val="0"/>
            <w:vAlign w:val="center"/>
          </w:tcPr>
          <w:p w14:paraId="0836FBD5">
            <w:pPr>
              <w:autoSpaceDN w:val="0"/>
              <w:spacing w:line="320" w:lineRule="exact"/>
              <w:jc w:val="center"/>
              <w:textAlignment w:val="center"/>
              <w:rPr>
                <w:rFonts w:hint="eastAsia" w:ascii="仿宋_GB2312" w:hAnsi="仿宋_GB2312" w:eastAsia="仿宋_GB2312" w:cs="仿宋_GB2312"/>
                <w:color w:val="000000"/>
                <w:sz w:val="24"/>
              </w:rPr>
            </w:pPr>
          </w:p>
        </w:tc>
        <w:tc>
          <w:tcPr>
            <w:tcW w:w="2160" w:type="dxa"/>
            <w:gridSpan w:val="4"/>
            <w:noWrap w:val="0"/>
            <w:vAlign w:val="center"/>
          </w:tcPr>
          <w:p w14:paraId="57FF3E60">
            <w:pPr>
              <w:autoSpaceDN w:val="0"/>
              <w:spacing w:line="320" w:lineRule="exact"/>
              <w:jc w:val="center"/>
              <w:textAlignment w:val="center"/>
              <w:rPr>
                <w:rFonts w:hint="eastAsia" w:ascii="仿宋_GB2312" w:hAnsi="仿宋_GB2312" w:eastAsia="仿宋_GB2312" w:cs="仿宋_GB2312"/>
                <w:color w:val="000000"/>
                <w:sz w:val="24"/>
              </w:rPr>
            </w:pPr>
          </w:p>
        </w:tc>
        <w:tc>
          <w:tcPr>
            <w:tcW w:w="2425" w:type="dxa"/>
            <w:gridSpan w:val="5"/>
            <w:noWrap w:val="0"/>
            <w:vAlign w:val="center"/>
          </w:tcPr>
          <w:p w14:paraId="17059F11">
            <w:pPr>
              <w:autoSpaceDN w:val="0"/>
              <w:spacing w:line="320" w:lineRule="exact"/>
              <w:jc w:val="center"/>
              <w:textAlignment w:val="center"/>
              <w:rPr>
                <w:rFonts w:hint="eastAsia" w:ascii="仿宋_GB2312" w:hAnsi="仿宋_GB2312" w:eastAsia="仿宋_GB2312" w:cs="仿宋_GB2312"/>
                <w:color w:val="000000"/>
                <w:sz w:val="24"/>
              </w:rPr>
            </w:pPr>
          </w:p>
        </w:tc>
      </w:tr>
      <w:tr w14:paraId="76BC59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2"/>
            <w:vMerge w:val="restart"/>
            <w:noWrap w:val="0"/>
            <w:vAlign w:val="center"/>
          </w:tcPr>
          <w:p w14:paraId="3A23A5EB">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机构名称</w:t>
            </w:r>
          </w:p>
        </w:tc>
        <w:tc>
          <w:tcPr>
            <w:tcW w:w="1174" w:type="dxa"/>
            <w:gridSpan w:val="2"/>
            <w:vMerge w:val="restart"/>
            <w:tcBorders>
              <w:right w:val="single" w:color="auto" w:sz="4" w:space="0"/>
            </w:tcBorders>
            <w:noWrap w:val="0"/>
            <w:vAlign w:val="center"/>
          </w:tcPr>
          <w:p w14:paraId="482F5ABD">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固定资产</w:t>
            </w:r>
          </w:p>
          <w:p w14:paraId="5D929B56">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合计</w:t>
            </w:r>
          </w:p>
        </w:tc>
        <w:tc>
          <w:tcPr>
            <w:tcW w:w="5985" w:type="dxa"/>
            <w:gridSpan w:val="11"/>
            <w:tcBorders>
              <w:left w:val="single" w:color="auto" w:sz="4" w:space="0"/>
              <w:right w:val="single" w:color="auto" w:sz="4" w:space="0"/>
            </w:tcBorders>
            <w:noWrap w:val="0"/>
            <w:vAlign w:val="center"/>
          </w:tcPr>
          <w:p w14:paraId="245562B1">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941" w:type="dxa"/>
            <w:gridSpan w:val="2"/>
            <w:vMerge w:val="restart"/>
            <w:tcBorders>
              <w:left w:val="single" w:color="auto" w:sz="4" w:space="0"/>
            </w:tcBorders>
            <w:noWrap w:val="0"/>
            <w:vAlign w:val="center"/>
          </w:tcPr>
          <w:p w14:paraId="18501850">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tc>
      </w:tr>
      <w:tr w14:paraId="268A7B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2"/>
            <w:vMerge w:val="continue"/>
            <w:noWrap w:val="0"/>
            <w:vAlign w:val="center"/>
          </w:tcPr>
          <w:p w14:paraId="2F8C0ACE">
            <w:pPr>
              <w:spacing w:line="320" w:lineRule="exact"/>
              <w:jc w:val="center"/>
              <w:rPr>
                <w:rFonts w:hint="eastAsia" w:ascii="仿宋_GB2312" w:hAnsi="仿宋_GB2312" w:eastAsia="仿宋_GB2312" w:cs="仿宋_GB2312"/>
                <w:sz w:val="24"/>
              </w:rPr>
            </w:pPr>
          </w:p>
        </w:tc>
        <w:tc>
          <w:tcPr>
            <w:tcW w:w="1174" w:type="dxa"/>
            <w:gridSpan w:val="2"/>
            <w:vMerge w:val="continue"/>
            <w:tcBorders>
              <w:right w:val="single" w:color="auto" w:sz="4" w:space="0"/>
            </w:tcBorders>
            <w:noWrap w:val="0"/>
            <w:vAlign w:val="center"/>
          </w:tcPr>
          <w:p w14:paraId="51F165E5">
            <w:pPr>
              <w:autoSpaceDN w:val="0"/>
              <w:spacing w:line="320" w:lineRule="exact"/>
              <w:jc w:val="center"/>
              <w:textAlignment w:val="center"/>
              <w:rPr>
                <w:rFonts w:hint="eastAsia" w:ascii="仿宋_GB2312" w:hAnsi="仿宋_GB2312" w:eastAsia="仿宋_GB2312" w:cs="仿宋_GB2312"/>
                <w:color w:val="000000"/>
                <w:sz w:val="24"/>
              </w:rPr>
            </w:pPr>
          </w:p>
        </w:tc>
        <w:tc>
          <w:tcPr>
            <w:tcW w:w="2341" w:type="dxa"/>
            <w:gridSpan w:val="4"/>
            <w:tcBorders>
              <w:left w:val="single" w:color="auto" w:sz="4" w:space="0"/>
            </w:tcBorders>
            <w:noWrap w:val="0"/>
            <w:vAlign w:val="center"/>
          </w:tcPr>
          <w:p w14:paraId="610E624F">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在用固定资产</w:t>
            </w:r>
          </w:p>
        </w:tc>
        <w:tc>
          <w:tcPr>
            <w:tcW w:w="3644" w:type="dxa"/>
            <w:gridSpan w:val="7"/>
            <w:tcBorders>
              <w:right w:val="single" w:color="auto" w:sz="4" w:space="0"/>
            </w:tcBorders>
            <w:noWrap w:val="0"/>
            <w:vAlign w:val="center"/>
          </w:tcPr>
          <w:p w14:paraId="234BB304">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出租固定资产</w:t>
            </w:r>
          </w:p>
        </w:tc>
        <w:tc>
          <w:tcPr>
            <w:tcW w:w="941" w:type="dxa"/>
            <w:gridSpan w:val="2"/>
            <w:vMerge w:val="continue"/>
            <w:tcBorders>
              <w:left w:val="single" w:color="auto" w:sz="4" w:space="0"/>
            </w:tcBorders>
            <w:noWrap w:val="0"/>
            <w:vAlign w:val="center"/>
          </w:tcPr>
          <w:p w14:paraId="636C3425">
            <w:pPr>
              <w:autoSpaceDN w:val="0"/>
              <w:spacing w:line="320" w:lineRule="exact"/>
              <w:jc w:val="center"/>
              <w:textAlignment w:val="center"/>
              <w:rPr>
                <w:rFonts w:hint="eastAsia" w:ascii="仿宋_GB2312" w:hAnsi="仿宋_GB2312" w:eastAsia="仿宋_GB2312" w:cs="仿宋_GB2312"/>
                <w:color w:val="000000"/>
                <w:sz w:val="24"/>
              </w:rPr>
            </w:pPr>
          </w:p>
        </w:tc>
      </w:tr>
      <w:tr w14:paraId="0DD57E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55" w:hRule="atLeast"/>
          <w:jc w:val="center"/>
        </w:trPr>
        <w:tc>
          <w:tcPr>
            <w:tcW w:w="1700" w:type="dxa"/>
            <w:gridSpan w:val="2"/>
            <w:noWrap w:val="0"/>
            <w:vAlign w:val="center"/>
          </w:tcPr>
          <w:p w14:paraId="46B44BA3">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color w:val="000000"/>
                <w:sz w:val="24"/>
              </w:rPr>
              <w:t>局机关及二级机构汇总</w:t>
            </w:r>
          </w:p>
        </w:tc>
        <w:tc>
          <w:tcPr>
            <w:tcW w:w="1174" w:type="dxa"/>
            <w:gridSpan w:val="2"/>
            <w:tcBorders>
              <w:right w:val="single" w:color="auto" w:sz="4" w:space="0"/>
            </w:tcBorders>
            <w:noWrap w:val="0"/>
            <w:vAlign w:val="center"/>
          </w:tcPr>
          <w:p w14:paraId="27723659">
            <w:pPr>
              <w:autoSpaceDN w:val="0"/>
              <w:spacing w:line="320" w:lineRule="exact"/>
              <w:jc w:val="center"/>
              <w:textAlignment w:val="center"/>
              <w:rPr>
                <w:rFonts w:hint="eastAsia" w:ascii="仿宋_GB2312" w:hAnsi="仿宋_GB2312" w:eastAsia="仿宋_GB2312" w:cs="仿宋_GB2312"/>
                <w:color w:val="000000"/>
                <w:sz w:val="24"/>
              </w:rPr>
            </w:pPr>
          </w:p>
        </w:tc>
        <w:tc>
          <w:tcPr>
            <w:tcW w:w="2341" w:type="dxa"/>
            <w:gridSpan w:val="4"/>
            <w:tcBorders>
              <w:left w:val="single" w:color="auto" w:sz="4" w:space="0"/>
            </w:tcBorders>
            <w:noWrap w:val="0"/>
            <w:vAlign w:val="center"/>
          </w:tcPr>
          <w:p w14:paraId="0F5F77A7">
            <w:pPr>
              <w:autoSpaceDN w:val="0"/>
              <w:spacing w:line="320" w:lineRule="exact"/>
              <w:jc w:val="center"/>
              <w:textAlignment w:val="center"/>
              <w:rPr>
                <w:rFonts w:hint="eastAsia" w:ascii="仿宋_GB2312" w:hAnsi="仿宋_GB2312" w:eastAsia="仿宋_GB2312" w:cs="仿宋_GB2312"/>
                <w:color w:val="000000"/>
                <w:sz w:val="24"/>
              </w:rPr>
            </w:pPr>
          </w:p>
        </w:tc>
        <w:tc>
          <w:tcPr>
            <w:tcW w:w="3644" w:type="dxa"/>
            <w:gridSpan w:val="7"/>
            <w:noWrap w:val="0"/>
            <w:vAlign w:val="center"/>
          </w:tcPr>
          <w:p w14:paraId="07B4DD82">
            <w:pPr>
              <w:autoSpaceDN w:val="0"/>
              <w:spacing w:line="320" w:lineRule="exact"/>
              <w:jc w:val="center"/>
              <w:textAlignment w:val="center"/>
              <w:rPr>
                <w:rFonts w:hint="eastAsia" w:ascii="仿宋_GB2312" w:hAnsi="仿宋_GB2312" w:eastAsia="仿宋_GB2312" w:cs="仿宋_GB2312"/>
                <w:color w:val="000000"/>
                <w:sz w:val="24"/>
              </w:rPr>
            </w:pPr>
          </w:p>
        </w:tc>
        <w:tc>
          <w:tcPr>
            <w:tcW w:w="941" w:type="dxa"/>
            <w:gridSpan w:val="2"/>
            <w:noWrap w:val="0"/>
            <w:vAlign w:val="center"/>
          </w:tcPr>
          <w:p w14:paraId="560BCA2A">
            <w:pPr>
              <w:autoSpaceDN w:val="0"/>
              <w:spacing w:line="320" w:lineRule="exact"/>
              <w:jc w:val="center"/>
              <w:textAlignment w:val="center"/>
              <w:rPr>
                <w:rFonts w:hint="eastAsia" w:ascii="仿宋_GB2312" w:hAnsi="仿宋_GB2312" w:eastAsia="仿宋_GB2312" w:cs="仿宋_GB2312"/>
                <w:color w:val="000000"/>
                <w:sz w:val="24"/>
              </w:rPr>
            </w:pPr>
          </w:p>
        </w:tc>
      </w:tr>
      <w:tr w14:paraId="0763A3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2"/>
            <w:noWrap w:val="0"/>
            <w:vAlign w:val="center"/>
          </w:tcPr>
          <w:p w14:paraId="460C7412">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1、局机关</w:t>
            </w:r>
          </w:p>
        </w:tc>
        <w:tc>
          <w:tcPr>
            <w:tcW w:w="1174" w:type="dxa"/>
            <w:gridSpan w:val="2"/>
            <w:tcBorders>
              <w:right w:val="single" w:color="auto" w:sz="4" w:space="0"/>
            </w:tcBorders>
            <w:noWrap w:val="0"/>
            <w:vAlign w:val="center"/>
          </w:tcPr>
          <w:p w14:paraId="63D73835">
            <w:pPr>
              <w:autoSpaceDN w:val="0"/>
              <w:spacing w:line="320" w:lineRule="exact"/>
              <w:jc w:val="center"/>
              <w:textAlignment w:val="center"/>
              <w:rPr>
                <w:rFonts w:hint="eastAsia" w:ascii="仿宋_GB2312" w:hAnsi="仿宋_GB2312" w:eastAsia="仿宋_GB2312" w:cs="仿宋_GB2312"/>
                <w:color w:val="000000"/>
                <w:sz w:val="24"/>
              </w:rPr>
            </w:pPr>
          </w:p>
        </w:tc>
        <w:tc>
          <w:tcPr>
            <w:tcW w:w="2341" w:type="dxa"/>
            <w:gridSpan w:val="4"/>
            <w:tcBorders>
              <w:left w:val="single" w:color="auto" w:sz="4" w:space="0"/>
            </w:tcBorders>
            <w:noWrap w:val="0"/>
            <w:vAlign w:val="center"/>
          </w:tcPr>
          <w:p w14:paraId="5DD64EEE">
            <w:pPr>
              <w:autoSpaceDN w:val="0"/>
              <w:spacing w:line="320" w:lineRule="exact"/>
              <w:jc w:val="center"/>
              <w:textAlignment w:val="center"/>
              <w:rPr>
                <w:rFonts w:hint="eastAsia" w:ascii="仿宋_GB2312" w:hAnsi="仿宋_GB2312" w:eastAsia="仿宋_GB2312" w:cs="仿宋_GB2312"/>
                <w:color w:val="000000"/>
                <w:sz w:val="24"/>
              </w:rPr>
            </w:pPr>
          </w:p>
        </w:tc>
        <w:tc>
          <w:tcPr>
            <w:tcW w:w="3644" w:type="dxa"/>
            <w:gridSpan w:val="7"/>
            <w:noWrap w:val="0"/>
            <w:vAlign w:val="center"/>
          </w:tcPr>
          <w:p w14:paraId="1F6EAD1A">
            <w:pPr>
              <w:autoSpaceDN w:val="0"/>
              <w:spacing w:line="320" w:lineRule="exact"/>
              <w:jc w:val="center"/>
              <w:textAlignment w:val="center"/>
              <w:rPr>
                <w:rFonts w:hint="eastAsia" w:ascii="仿宋_GB2312" w:hAnsi="仿宋_GB2312" w:eastAsia="仿宋_GB2312" w:cs="仿宋_GB2312"/>
                <w:color w:val="000000"/>
                <w:sz w:val="24"/>
              </w:rPr>
            </w:pPr>
          </w:p>
        </w:tc>
        <w:tc>
          <w:tcPr>
            <w:tcW w:w="941" w:type="dxa"/>
            <w:gridSpan w:val="2"/>
            <w:noWrap w:val="0"/>
            <w:vAlign w:val="center"/>
          </w:tcPr>
          <w:p w14:paraId="34CEA3D5">
            <w:pPr>
              <w:autoSpaceDN w:val="0"/>
              <w:spacing w:line="320" w:lineRule="exact"/>
              <w:jc w:val="center"/>
              <w:textAlignment w:val="center"/>
              <w:rPr>
                <w:rFonts w:hint="eastAsia" w:ascii="仿宋_GB2312" w:hAnsi="仿宋_GB2312" w:eastAsia="仿宋_GB2312" w:cs="仿宋_GB2312"/>
                <w:color w:val="000000"/>
                <w:sz w:val="24"/>
              </w:rPr>
            </w:pPr>
          </w:p>
        </w:tc>
      </w:tr>
      <w:tr w14:paraId="18BBE1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2"/>
            <w:noWrap w:val="0"/>
            <w:vAlign w:val="center"/>
          </w:tcPr>
          <w:p w14:paraId="5D5F1A99">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2、市二医院</w:t>
            </w:r>
          </w:p>
        </w:tc>
        <w:tc>
          <w:tcPr>
            <w:tcW w:w="1174" w:type="dxa"/>
            <w:gridSpan w:val="2"/>
            <w:tcBorders>
              <w:right w:val="single" w:color="auto" w:sz="4" w:space="0"/>
            </w:tcBorders>
            <w:noWrap w:val="0"/>
            <w:vAlign w:val="center"/>
          </w:tcPr>
          <w:p w14:paraId="1C64BC88">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65022.06</w:t>
            </w:r>
          </w:p>
        </w:tc>
        <w:tc>
          <w:tcPr>
            <w:tcW w:w="2341" w:type="dxa"/>
            <w:gridSpan w:val="4"/>
            <w:tcBorders>
              <w:left w:val="single" w:color="auto" w:sz="4" w:space="0"/>
            </w:tcBorders>
            <w:noWrap w:val="0"/>
            <w:vAlign w:val="center"/>
          </w:tcPr>
          <w:p w14:paraId="03FE3CDC">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65022.06</w:t>
            </w:r>
          </w:p>
        </w:tc>
        <w:tc>
          <w:tcPr>
            <w:tcW w:w="3644" w:type="dxa"/>
            <w:gridSpan w:val="7"/>
            <w:noWrap w:val="0"/>
            <w:vAlign w:val="center"/>
          </w:tcPr>
          <w:p w14:paraId="01244470">
            <w:pPr>
              <w:autoSpaceDN w:val="0"/>
              <w:spacing w:line="320" w:lineRule="exact"/>
              <w:jc w:val="center"/>
              <w:textAlignment w:val="center"/>
              <w:rPr>
                <w:rFonts w:hint="eastAsia" w:ascii="仿宋_GB2312" w:hAnsi="仿宋_GB2312" w:eastAsia="仿宋_GB2312" w:cs="仿宋_GB2312"/>
                <w:color w:val="000000"/>
                <w:sz w:val="24"/>
              </w:rPr>
            </w:pPr>
          </w:p>
        </w:tc>
        <w:tc>
          <w:tcPr>
            <w:tcW w:w="941" w:type="dxa"/>
            <w:gridSpan w:val="2"/>
            <w:noWrap w:val="0"/>
            <w:vAlign w:val="center"/>
          </w:tcPr>
          <w:p w14:paraId="75298A27">
            <w:pPr>
              <w:autoSpaceDN w:val="0"/>
              <w:spacing w:line="320" w:lineRule="exact"/>
              <w:jc w:val="center"/>
              <w:textAlignment w:val="center"/>
              <w:rPr>
                <w:rFonts w:hint="eastAsia" w:ascii="仿宋_GB2312" w:hAnsi="仿宋_GB2312" w:eastAsia="仿宋_GB2312" w:cs="仿宋_GB2312"/>
                <w:color w:val="000000"/>
                <w:sz w:val="24"/>
              </w:rPr>
            </w:pPr>
          </w:p>
        </w:tc>
      </w:tr>
      <w:tr w14:paraId="643F78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2"/>
            <w:noWrap w:val="0"/>
            <w:vAlign w:val="center"/>
          </w:tcPr>
          <w:p w14:paraId="17ABA3C0">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3、二级机构2</w:t>
            </w:r>
          </w:p>
        </w:tc>
        <w:tc>
          <w:tcPr>
            <w:tcW w:w="1174" w:type="dxa"/>
            <w:gridSpan w:val="2"/>
            <w:tcBorders>
              <w:right w:val="single" w:color="auto" w:sz="4" w:space="0"/>
            </w:tcBorders>
            <w:noWrap w:val="0"/>
            <w:vAlign w:val="center"/>
          </w:tcPr>
          <w:p w14:paraId="1B47FABB">
            <w:pPr>
              <w:autoSpaceDN w:val="0"/>
              <w:spacing w:line="320" w:lineRule="exact"/>
              <w:jc w:val="center"/>
              <w:textAlignment w:val="center"/>
              <w:rPr>
                <w:rFonts w:hint="eastAsia" w:ascii="仿宋_GB2312" w:hAnsi="仿宋_GB2312" w:eastAsia="仿宋_GB2312" w:cs="仿宋_GB2312"/>
                <w:color w:val="000000"/>
                <w:sz w:val="24"/>
              </w:rPr>
            </w:pPr>
          </w:p>
        </w:tc>
        <w:tc>
          <w:tcPr>
            <w:tcW w:w="2341" w:type="dxa"/>
            <w:gridSpan w:val="4"/>
            <w:tcBorders>
              <w:left w:val="single" w:color="auto" w:sz="4" w:space="0"/>
            </w:tcBorders>
            <w:noWrap w:val="0"/>
            <w:vAlign w:val="center"/>
          </w:tcPr>
          <w:p w14:paraId="58D4AD47">
            <w:pPr>
              <w:autoSpaceDN w:val="0"/>
              <w:spacing w:line="320" w:lineRule="exact"/>
              <w:jc w:val="center"/>
              <w:textAlignment w:val="center"/>
              <w:rPr>
                <w:rFonts w:hint="eastAsia" w:ascii="仿宋_GB2312" w:hAnsi="仿宋_GB2312" w:eastAsia="仿宋_GB2312" w:cs="仿宋_GB2312"/>
                <w:color w:val="000000"/>
                <w:sz w:val="24"/>
              </w:rPr>
            </w:pPr>
          </w:p>
        </w:tc>
        <w:tc>
          <w:tcPr>
            <w:tcW w:w="3644" w:type="dxa"/>
            <w:gridSpan w:val="7"/>
            <w:noWrap w:val="0"/>
            <w:vAlign w:val="center"/>
          </w:tcPr>
          <w:p w14:paraId="4C1BD06D">
            <w:pPr>
              <w:autoSpaceDN w:val="0"/>
              <w:spacing w:line="320" w:lineRule="exact"/>
              <w:jc w:val="center"/>
              <w:textAlignment w:val="center"/>
              <w:rPr>
                <w:rFonts w:hint="eastAsia" w:ascii="仿宋_GB2312" w:hAnsi="仿宋_GB2312" w:eastAsia="仿宋_GB2312" w:cs="仿宋_GB2312"/>
                <w:color w:val="000000"/>
                <w:sz w:val="24"/>
              </w:rPr>
            </w:pPr>
          </w:p>
        </w:tc>
        <w:tc>
          <w:tcPr>
            <w:tcW w:w="941" w:type="dxa"/>
            <w:gridSpan w:val="2"/>
            <w:noWrap w:val="0"/>
            <w:vAlign w:val="center"/>
          </w:tcPr>
          <w:p w14:paraId="64EF80DA">
            <w:pPr>
              <w:autoSpaceDN w:val="0"/>
              <w:spacing w:line="320" w:lineRule="exact"/>
              <w:jc w:val="center"/>
              <w:textAlignment w:val="center"/>
              <w:rPr>
                <w:rFonts w:hint="eastAsia" w:ascii="仿宋_GB2312" w:hAnsi="仿宋_GB2312" w:eastAsia="仿宋_GB2312" w:cs="仿宋_GB2312"/>
                <w:color w:val="000000"/>
                <w:sz w:val="24"/>
              </w:rPr>
            </w:pPr>
          </w:p>
        </w:tc>
      </w:tr>
      <w:tr w14:paraId="77C9B4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800" w:type="dxa"/>
            <w:gridSpan w:val="17"/>
            <w:noWrap w:val="0"/>
            <w:vAlign w:val="center"/>
          </w:tcPr>
          <w:p w14:paraId="33542AB2">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三、部门（单位）整体支出绩效自评情况</w:t>
            </w:r>
          </w:p>
        </w:tc>
      </w:tr>
      <w:tr w14:paraId="3CA049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40" w:type="dxa"/>
            <w:gridSpan w:val="3"/>
            <w:vMerge w:val="restart"/>
            <w:noWrap w:val="0"/>
            <w:vAlign w:val="center"/>
          </w:tcPr>
          <w:p w14:paraId="35F320CC">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整体支出绩效定性目标及实施计划完成情况</w:t>
            </w:r>
          </w:p>
        </w:tc>
        <w:tc>
          <w:tcPr>
            <w:tcW w:w="3475" w:type="dxa"/>
            <w:gridSpan w:val="5"/>
            <w:noWrap w:val="0"/>
            <w:vAlign w:val="center"/>
          </w:tcPr>
          <w:p w14:paraId="5177A750">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预期目标</w:t>
            </w:r>
          </w:p>
        </w:tc>
        <w:tc>
          <w:tcPr>
            <w:tcW w:w="4585" w:type="dxa"/>
            <w:gridSpan w:val="9"/>
            <w:noWrap w:val="0"/>
            <w:vAlign w:val="center"/>
          </w:tcPr>
          <w:p w14:paraId="3E8ADB71">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实际完成</w:t>
            </w:r>
          </w:p>
        </w:tc>
      </w:tr>
      <w:tr w14:paraId="4D6A56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280" w:hRule="atLeast"/>
          <w:jc w:val="center"/>
        </w:trPr>
        <w:tc>
          <w:tcPr>
            <w:tcW w:w="1740" w:type="dxa"/>
            <w:gridSpan w:val="3"/>
            <w:vMerge w:val="continue"/>
            <w:noWrap w:val="0"/>
            <w:vAlign w:val="center"/>
          </w:tcPr>
          <w:p w14:paraId="2FDC1229">
            <w:pPr>
              <w:spacing w:line="320" w:lineRule="exact"/>
              <w:rPr>
                <w:rFonts w:hint="eastAsia" w:ascii="仿宋_GB2312" w:hAnsi="仿宋_GB2312" w:eastAsia="仿宋_GB2312" w:cs="仿宋_GB2312"/>
                <w:sz w:val="24"/>
              </w:rPr>
            </w:pPr>
          </w:p>
        </w:tc>
        <w:tc>
          <w:tcPr>
            <w:tcW w:w="3475" w:type="dxa"/>
            <w:gridSpan w:val="5"/>
            <w:noWrap w:val="0"/>
            <w:vAlign w:val="center"/>
          </w:tcPr>
          <w:p w14:paraId="5B17E787">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目标1: 提升医疗护理质量</w:t>
            </w:r>
          </w:p>
          <w:p w14:paraId="3CC86408">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目标2：持续优化服务流程</w:t>
            </w:r>
          </w:p>
        </w:tc>
        <w:tc>
          <w:tcPr>
            <w:tcW w:w="4585" w:type="dxa"/>
            <w:gridSpan w:val="9"/>
            <w:noWrap w:val="0"/>
            <w:vAlign w:val="center"/>
          </w:tcPr>
          <w:p w14:paraId="471D0844">
            <w:pPr>
              <w:pStyle w:val="5"/>
              <w:spacing w:line="580" w:lineRule="exact"/>
              <w:ind w:firstLine="301" w:firstLineChars="200"/>
              <w:rPr>
                <w:rFonts w:hint="eastAsia" w:ascii="仿宋" w:hAnsi="仿宋" w:eastAsia="仿宋" w:cs="仿宋"/>
                <w:sz w:val="15"/>
                <w:szCs w:val="15"/>
              </w:rPr>
            </w:pPr>
            <w:r>
              <w:rPr>
                <w:rFonts w:hint="eastAsia" w:ascii="仿宋" w:hAnsi="仿宋" w:eastAsia="仿宋" w:cs="仿宋"/>
                <w:b/>
                <w:kern w:val="24"/>
                <w:sz w:val="15"/>
                <w:szCs w:val="15"/>
              </w:rPr>
              <w:t>1.大力推进临床重点学科建设。</w:t>
            </w:r>
            <w:r>
              <w:rPr>
                <w:rFonts w:hint="eastAsia" w:ascii="仿宋" w:hAnsi="仿宋" w:eastAsia="仿宋" w:cs="仿宋"/>
                <w:sz w:val="15"/>
                <w:szCs w:val="15"/>
              </w:rPr>
              <w:t>院长亲自主导，成立学科办，制定医院学科发展纲要，多次组织召开重点专科建设评估汇报会、重点学科建设研讨推进会，进一步强化学科建设顶层设计，凝聚全院学科建设合力。对照国家和省级重点专科建设标准，细化工作目标和职责分工，明确工作任务与时间表，强化工作督导与绩效考核，推进学科建设迈上新台阶。</w:t>
            </w:r>
          </w:p>
          <w:p w14:paraId="7AEAC5C0">
            <w:pPr>
              <w:ind w:firstLine="301" w:firstLineChars="200"/>
              <w:rPr>
                <w:rFonts w:hint="eastAsia" w:ascii="仿宋" w:hAnsi="仿宋" w:eastAsia="仿宋" w:cs="仿宋"/>
                <w:sz w:val="15"/>
                <w:szCs w:val="15"/>
              </w:rPr>
            </w:pPr>
            <w:r>
              <w:rPr>
                <w:rFonts w:hint="eastAsia" w:ascii="仿宋" w:hAnsi="仿宋" w:eastAsia="仿宋" w:cs="仿宋"/>
                <w:b/>
                <w:sz w:val="15"/>
                <w:szCs w:val="15"/>
              </w:rPr>
              <w:t>2.扎实开展“全面提升医疗质量三年行动”。一是</w:t>
            </w:r>
            <w:r>
              <w:rPr>
                <w:rFonts w:hint="eastAsia" w:ascii="仿宋" w:hAnsi="仿宋" w:eastAsia="仿宋" w:cs="仿宋"/>
                <w:sz w:val="15"/>
                <w:szCs w:val="15"/>
              </w:rPr>
              <w:t>成立工作专班，明确年度工作主题，每月召开专门会议推进工作。</w:t>
            </w:r>
            <w:r>
              <w:rPr>
                <w:rFonts w:hint="eastAsia" w:ascii="仿宋" w:hAnsi="仿宋" w:eastAsia="仿宋" w:cs="仿宋"/>
                <w:b/>
                <w:bCs/>
                <w:sz w:val="15"/>
                <w:szCs w:val="15"/>
              </w:rPr>
              <w:t>二是</w:t>
            </w:r>
            <w:r>
              <w:rPr>
                <w:rFonts w:hint="eastAsia" w:ascii="仿宋" w:hAnsi="仿宋" w:eastAsia="仿宋" w:cs="仿宋"/>
                <w:sz w:val="15"/>
                <w:szCs w:val="15"/>
              </w:rPr>
              <w:t>成立质控中心管理委员会，制定相关工作方案，新增麻醉、VTE规范化防治、妇科内镜等3个市级质控中心，予以17个挂靠医院的质控中心每年各8万元工作经费，面向全市开展规范化培训13场次，切实推动区域医疗协同发展。</w:t>
            </w:r>
            <w:r>
              <w:rPr>
                <w:rFonts w:hint="eastAsia" w:ascii="仿宋" w:hAnsi="仿宋" w:eastAsia="仿宋" w:cs="仿宋"/>
                <w:b/>
                <w:bCs/>
                <w:sz w:val="15"/>
                <w:szCs w:val="15"/>
              </w:rPr>
              <w:t>三是</w:t>
            </w:r>
            <w:r>
              <w:rPr>
                <w:rFonts w:hint="eastAsia" w:ascii="仿宋" w:hAnsi="仿宋" w:eastAsia="仿宋" w:cs="仿宋"/>
                <w:sz w:val="15"/>
                <w:szCs w:val="15"/>
              </w:rPr>
              <w:t>制定《病历内涵质量提升三年行动实施方案》，定期开展死亡病历质控、优秀病历评选，7份病案获“市级十佳病案”，4份病案获“市级优秀病案”1份病案获省级“百佳病案”。</w:t>
            </w:r>
            <w:r>
              <w:rPr>
                <w:rFonts w:hint="eastAsia" w:ascii="仿宋" w:hAnsi="仿宋" w:eastAsia="仿宋" w:cs="仿宋"/>
                <w:b/>
                <w:bCs/>
                <w:sz w:val="15"/>
                <w:szCs w:val="15"/>
              </w:rPr>
              <w:t>四是</w:t>
            </w:r>
            <w:r>
              <w:rPr>
                <w:rFonts w:hint="eastAsia" w:ascii="仿宋" w:hAnsi="仿宋" w:eastAsia="仿宋" w:cs="仿宋"/>
                <w:sz w:val="15"/>
                <w:szCs w:val="15"/>
              </w:rPr>
              <w:t>院级专家指导科室开展死亡病例讨论，每月形成死亡病例质控总结，全院通报警示，持续改进</w:t>
            </w:r>
            <w:r>
              <w:rPr>
                <w:rFonts w:hint="eastAsia" w:ascii="仿宋" w:hAnsi="仿宋" w:eastAsia="仿宋" w:cs="仿宋"/>
                <w:color w:val="0000FF"/>
                <w:sz w:val="15"/>
                <w:szCs w:val="15"/>
              </w:rPr>
              <w:t>。</w:t>
            </w:r>
            <w:r>
              <w:rPr>
                <w:rFonts w:hint="eastAsia" w:ascii="仿宋" w:hAnsi="仿宋" w:eastAsia="仿宋" w:cs="仿宋"/>
                <w:sz w:val="15"/>
                <w:szCs w:val="15"/>
              </w:rPr>
              <w:t>医院被省卫健委确定为全省公立医院高质量发展示范性医院建设单位。</w:t>
            </w:r>
          </w:p>
          <w:p w14:paraId="575A6A2F">
            <w:pPr>
              <w:spacing w:line="360" w:lineRule="auto"/>
              <w:ind w:firstLine="301" w:firstLineChars="200"/>
              <w:rPr>
                <w:rFonts w:hint="eastAsia" w:ascii="仿宋" w:hAnsi="仿宋" w:eastAsia="仿宋" w:cs="仿宋"/>
                <w:bCs/>
                <w:color w:val="000000"/>
                <w:sz w:val="15"/>
                <w:szCs w:val="15"/>
              </w:rPr>
            </w:pPr>
            <w:r>
              <w:rPr>
                <w:rFonts w:hint="eastAsia" w:ascii="仿宋" w:hAnsi="仿宋" w:eastAsia="仿宋" w:cs="仿宋"/>
                <w:b/>
                <w:color w:val="000000"/>
                <w:sz w:val="15"/>
                <w:szCs w:val="15"/>
              </w:rPr>
              <w:t>3.全面开展手术精益管理年活动。</w:t>
            </w:r>
            <w:r>
              <w:rPr>
                <w:rFonts w:hint="eastAsia" w:ascii="仿宋" w:hAnsi="仿宋" w:eastAsia="仿宋" w:cs="仿宋"/>
                <w:bCs/>
                <w:color w:val="000000"/>
                <w:sz w:val="15"/>
                <w:szCs w:val="15"/>
              </w:rPr>
              <w:t>围绕《2024年国家医疗质量安全改进目标》，扎实推进手术质量安全提升行动，进一步完善手术相关管理制度，规范手术授权，定期开展手术质量安全督导。</w:t>
            </w:r>
            <w:r>
              <w:rPr>
                <w:rFonts w:hint="eastAsia" w:ascii="仿宋" w:hAnsi="仿宋" w:eastAsia="仿宋" w:cs="仿宋"/>
                <w:color w:val="000000"/>
                <w:kern w:val="0"/>
                <w:sz w:val="15"/>
                <w:szCs w:val="15"/>
              </w:rPr>
              <w:t>制定急诊手术绿色通道管理流程，明确各科室职责，做到责权明晰，诊疗规范。</w:t>
            </w:r>
            <w:r>
              <w:rPr>
                <w:rFonts w:hint="eastAsia" w:ascii="仿宋" w:hAnsi="仿宋" w:eastAsia="仿宋" w:cs="仿宋"/>
                <w:bCs/>
                <w:color w:val="000000"/>
                <w:sz w:val="15"/>
                <w:szCs w:val="15"/>
              </w:rPr>
              <w:t>成功举办医院第一届规范化手术病例大赛，38位选手同台竞技，在全院掀起以赛促进、全面提升手术质量的热潮。全院开展手术规范化演示6场，开展临床新技术项目57项，3项新技术荣获市级“十大新技术奖”。</w:t>
            </w:r>
          </w:p>
          <w:p w14:paraId="3C28BC3E">
            <w:pPr>
              <w:pStyle w:val="11"/>
              <w:widowControl/>
              <w:shd w:val="clear" w:color="auto" w:fill="FFFFFF"/>
              <w:spacing w:line="360" w:lineRule="auto"/>
              <w:ind w:firstLine="640"/>
              <w:jc w:val="left"/>
              <w:rPr>
                <w:rFonts w:hint="eastAsia" w:ascii="仿宋" w:hAnsi="仿宋" w:eastAsia="仿宋" w:cs="仿宋"/>
                <w:color w:val="000000"/>
                <w:kern w:val="0"/>
                <w:sz w:val="15"/>
                <w:szCs w:val="15"/>
              </w:rPr>
            </w:pPr>
            <w:r>
              <w:rPr>
                <w:rFonts w:hint="eastAsia" w:ascii="仿宋" w:hAnsi="仿宋" w:eastAsia="仿宋" w:cs="仿宋"/>
                <w:color w:val="000000"/>
                <w:kern w:val="0"/>
                <w:sz w:val="15"/>
                <w:szCs w:val="15"/>
              </w:rPr>
              <w:t>4.</w:t>
            </w:r>
            <w:r>
              <w:rPr>
                <w:rFonts w:hint="eastAsia" w:ascii="仿宋" w:hAnsi="仿宋" w:eastAsia="仿宋" w:cs="仿宋"/>
                <w:b/>
                <w:bCs/>
                <w:color w:val="000000"/>
                <w:kern w:val="0"/>
                <w:sz w:val="15"/>
                <w:szCs w:val="15"/>
              </w:rPr>
              <w:t>深化VTE规范化防治。</w:t>
            </w:r>
            <w:r>
              <w:rPr>
                <w:rFonts w:hint="eastAsia" w:ascii="仿宋" w:hAnsi="仿宋" w:eastAsia="仿宋" w:cs="仿宋"/>
                <w:color w:val="000000"/>
                <w:kern w:val="0"/>
                <w:sz w:val="15"/>
                <w:szCs w:val="15"/>
              </w:rPr>
              <w:t>参与王辰院士领衔、中日友好医院牵头的中国住院患者静脉血栓栓塞症预防策略研究项目，是全省4家当选医院之一。被中华医学会评为全国肺栓塞系统化研究优秀参研单位，并高分通过全国VTE防治能力评审，成为优秀VTE防治中心。</w:t>
            </w:r>
          </w:p>
          <w:p w14:paraId="2AB6AEEC">
            <w:pPr>
              <w:spacing w:line="360" w:lineRule="auto"/>
              <w:ind w:firstLine="301" w:firstLineChars="200"/>
              <w:rPr>
                <w:rFonts w:hint="eastAsia" w:ascii="仿宋" w:hAnsi="仿宋" w:eastAsia="仿宋" w:cs="仿宋"/>
                <w:sz w:val="15"/>
                <w:szCs w:val="15"/>
              </w:rPr>
            </w:pPr>
            <w:r>
              <w:rPr>
                <w:rFonts w:hint="eastAsia" w:ascii="仿宋" w:hAnsi="仿宋" w:eastAsia="仿宋" w:cs="仿宋"/>
                <w:b/>
                <w:bCs/>
                <w:sz w:val="15"/>
                <w:szCs w:val="15"/>
              </w:rPr>
              <w:t>5.稳步推进五大中心建设。</w:t>
            </w:r>
            <w:r>
              <w:rPr>
                <w:rFonts w:hint="eastAsia" w:ascii="仿宋" w:hAnsi="仿宋" w:eastAsia="仿宋" w:cs="仿宋"/>
                <w:b/>
                <w:sz w:val="15"/>
                <w:szCs w:val="15"/>
              </w:rPr>
              <w:t>胸痛中心</w:t>
            </w:r>
            <w:r>
              <w:rPr>
                <w:rFonts w:hint="eastAsia" w:ascii="仿宋" w:hAnsi="仿宋" w:eastAsia="仿宋" w:cs="仿宋"/>
                <w:bCs/>
                <w:sz w:val="15"/>
                <w:szCs w:val="15"/>
              </w:rPr>
              <w:t>完成急性心肌梗死急诊介入治疗手术136台次，ST段抬高心肌梗死病人平均门球（D2B）时间70分钟，达标率83%；发病12小时再灌注率93%。</w:t>
            </w:r>
            <w:r>
              <w:rPr>
                <w:rFonts w:hint="eastAsia" w:ascii="仿宋" w:hAnsi="仿宋" w:eastAsia="仿宋" w:cs="仿宋"/>
                <w:b/>
                <w:sz w:val="15"/>
                <w:szCs w:val="15"/>
              </w:rPr>
              <w:t>卒中中心</w:t>
            </w:r>
            <w:r>
              <w:rPr>
                <w:rFonts w:hint="eastAsia" w:ascii="仿宋" w:hAnsi="仿宋" w:eastAsia="仿宋" w:cs="仿宋"/>
                <w:bCs/>
                <w:sz w:val="15"/>
                <w:szCs w:val="15"/>
              </w:rPr>
              <w:t>成功开展静脉溶栓86例，DNT中位数47min；开展院内外健康讲座、义诊33次，基层培训6次,院内培训3次；完成卒中患者床旁建档1603例，卒中患者电话随访4782例。</w:t>
            </w:r>
            <w:r>
              <w:rPr>
                <w:rFonts w:hint="eastAsia" w:ascii="仿宋" w:hAnsi="仿宋" w:eastAsia="仿宋" w:cs="仿宋"/>
                <w:b/>
                <w:sz w:val="15"/>
                <w:szCs w:val="15"/>
              </w:rPr>
              <w:t>创伤中心</w:t>
            </w:r>
            <w:r>
              <w:rPr>
                <w:rFonts w:hint="eastAsia" w:ascii="仿宋" w:hAnsi="仿宋" w:eastAsia="仿宋" w:cs="仿宋"/>
                <w:bCs/>
                <w:sz w:val="15"/>
                <w:szCs w:val="15"/>
              </w:rPr>
              <w:t>收治严重创伤50人，总治愈率82.7%；荣获“中国创伤救治联盟会员单位”授牌，并在全市首创召开创伤MHT会议，先后到华容、临湘等6县区开展创伤技术指导与帮扶，积极提升全市创伤救治水平；工作案例荣获湖南省“改善就医感受，提升患者体验”比赛“十佳案例”，并被遴选为国家创伤联盟创伤中心建设典型案例。</w:t>
            </w:r>
            <w:r>
              <w:rPr>
                <w:rFonts w:hint="eastAsia" w:ascii="仿宋" w:hAnsi="仿宋" w:eastAsia="仿宋" w:cs="仿宋"/>
                <w:b/>
                <w:sz w:val="15"/>
                <w:szCs w:val="15"/>
              </w:rPr>
              <w:t>孕产妇救治中心</w:t>
            </w:r>
            <w:r>
              <w:rPr>
                <w:rFonts w:hint="eastAsia" w:ascii="仿宋" w:hAnsi="仿宋" w:eastAsia="仿宋" w:cs="仿宋"/>
                <w:bCs/>
                <w:sz w:val="15"/>
                <w:szCs w:val="15"/>
              </w:rPr>
              <w:t>全年</w:t>
            </w:r>
            <w:r>
              <w:rPr>
                <w:rFonts w:hint="eastAsia" w:ascii="仿宋" w:hAnsi="仿宋" w:eastAsia="仿宋" w:cs="仿宋"/>
                <w:sz w:val="15"/>
                <w:szCs w:val="15"/>
              </w:rPr>
              <w:t>共救治危重孕产妇26例，抢救成功率100%。</w:t>
            </w:r>
          </w:p>
          <w:p w14:paraId="3FBA3830">
            <w:pPr>
              <w:spacing w:line="360" w:lineRule="auto"/>
              <w:ind w:firstLine="301" w:firstLineChars="200"/>
              <w:rPr>
                <w:rFonts w:hint="eastAsia" w:ascii="仿宋" w:hAnsi="仿宋" w:eastAsia="仿宋" w:cs="仿宋"/>
                <w:bCs/>
                <w:sz w:val="15"/>
                <w:szCs w:val="15"/>
              </w:rPr>
            </w:pPr>
            <w:r>
              <w:rPr>
                <w:rFonts w:hint="eastAsia" w:ascii="仿宋" w:hAnsi="仿宋" w:eastAsia="仿宋" w:cs="仿宋"/>
                <w:b/>
                <w:bCs/>
                <w:sz w:val="15"/>
                <w:szCs w:val="15"/>
              </w:rPr>
              <w:t>6.大力推广多学科联合诊疗。</w:t>
            </w:r>
            <w:r>
              <w:rPr>
                <w:rFonts w:hint="eastAsia" w:ascii="仿宋" w:hAnsi="仿宋" w:eastAsia="仿宋" w:cs="仿宋"/>
                <w:bCs/>
                <w:sz w:val="15"/>
                <w:szCs w:val="15"/>
              </w:rPr>
              <w:t>进一步强化全院33个MDT病种管理，其中肺癌MDT、乳腺癌MDT、罕见病MDT、肺栓塞MDT、糖尿病足MDT得到较快发展。罕见病MDT团队组织召开了罕见病诊治调研座谈会，肺栓塞MDT成立了急性肺栓塞诊治快速反应团队（PERT），全年因急性肺栓塞死亡病例下降为0例。糖尿病足MDT新增中医科、疼痛科专家，在全市首创开展糖尿病足下肢动脉闭塞患者脊髓电刺激治疗，取得良好疗效。</w:t>
            </w:r>
          </w:p>
          <w:p w14:paraId="3C38828D">
            <w:pPr>
              <w:spacing w:line="360" w:lineRule="auto"/>
              <w:ind w:firstLine="301" w:firstLineChars="200"/>
              <w:rPr>
                <w:rFonts w:hint="eastAsia" w:ascii="仿宋" w:hAnsi="仿宋" w:eastAsia="仿宋" w:cs="仿宋"/>
                <w:bCs/>
                <w:sz w:val="15"/>
                <w:szCs w:val="15"/>
              </w:rPr>
            </w:pPr>
            <w:r>
              <w:rPr>
                <w:rFonts w:hint="eastAsia" w:ascii="仿宋" w:hAnsi="仿宋" w:eastAsia="仿宋" w:cs="仿宋"/>
                <w:b/>
                <w:bCs/>
                <w:sz w:val="15"/>
                <w:szCs w:val="15"/>
              </w:rPr>
              <w:t>7.不断加强临床路径管理。</w:t>
            </w:r>
            <w:r>
              <w:rPr>
                <w:rFonts w:hint="eastAsia" w:ascii="仿宋" w:hAnsi="仿宋" w:eastAsia="仿宋" w:cs="仿宋"/>
                <w:bCs/>
                <w:sz w:val="15"/>
                <w:szCs w:val="15"/>
              </w:rPr>
              <w:t>召开临床路径工作推进会2次，完善临床路径建设工作方案，确定基本病种目录，搭建信息化操作平台。截止12月，全院实行临床路径科室36个，对出院患者按照临床路径管理占比16.02%。</w:t>
            </w:r>
          </w:p>
          <w:p w14:paraId="75310578">
            <w:pPr>
              <w:ind w:firstLine="301" w:firstLineChars="200"/>
              <w:rPr>
                <w:rFonts w:hint="eastAsia" w:ascii="仿宋" w:hAnsi="仿宋" w:eastAsia="仿宋" w:cs="仿宋"/>
                <w:sz w:val="15"/>
                <w:szCs w:val="15"/>
              </w:rPr>
            </w:pPr>
            <w:r>
              <w:rPr>
                <w:rFonts w:hint="eastAsia" w:ascii="仿宋" w:hAnsi="仿宋" w:eastAsia="仿宋" w:cs="仿宋"/>
                <w:b/>
                <w:bCs/>
                <w:sz w:val="15"/>
                <w:szCs w:val="15"/>
              </w:rPr>
              <w:t>8.切实提升合理用药水平。</w:t>
            </w:r>
            <w:r>
              <w:rPr>
                <w:rFonts w:hint="eastAsia" w:ascii="仿宋" w:hAnsi="仿宋" w:eastAsia="仿宋" w:cs="仿宋"/>
                <w:sz w:val="15"/>
                <w:szCs w:val="15"/>
              </w:rPr>
              <w:t>在全市率先开设药学门诊和门诊义诊专区药学服务，安排临床药师每天坐诊。全年开展药学会诊600余次，同比增加63%；在架病历点评1.27万份，同比增加98%，门诊处方点评2.61万张，同比增加20.3%，药学查房、药学科普、药物基因检测、麻精药品信息化管理等工作力度持续加大，有力提升了临床合理用药水平。</w:t>
            </w:r>
          </w:p>
          <w:p w14:paraId="6AF5E9FD">
            <w:pPr>
              <w:pStyle w:val="7"/>
              <w:widowControl/>
              <w:spacing w:before="0" w:beforeAutospacing="0" w:after="0" w:afterAutospacing="0" w:line="580" w:lineRule="exact"/>
              <w:ind w:firstLine="301" w:firstLineChars="200"/>
              <w:jc w:val="both"/>
              <w:rPr>
                <w:rFonts w:hint="eastAsia" w:ascii="仿宋" w:hAnsi="仿宋" w:eastAsia="仿宋" w:cs="仿宋"/>
                <w:kern w:val="2"/>
                <w:sz w:val="15"/>
                <w:szCs w:val="15"/>
              </w:rPr>
            </w:pPr>
            <w:r>
              <w:rPr>
                <w:rFonts w:hint="eastAsia" w:ascii="仿宋" w:hAnsi="仿宋" w:eastAsia="仿宋" w:cs="仿宋"/>
                <w:b/>
                <w:bCs/>
                <w:sz w:val="15"/>
                <w:szCs w:val="15"/>
              </w:rPr>
              <w:t>9.持续加强院感管理。</w:t>
            </w:r>
            <w:r>
              <w:rPr>
                <w:rFonts w:hint="eastAsia" w:ascii="仿宋" w:hAnsi="仿宋" w:eastAsia="仿宋" w:cs="仿宋"/>
                <w:kern w:val="2"/>
                <w:sz w:val="15"/>
                <w:szCs w:val="15"/>
              </w:rPr>
              <w:t>召开医院感染管理委员会会议、内镜同质化管理专题会议，制定《提高住院患者抗菌药物治疗前病原学送检率工作方案》，开展内镜监测规范采样操作流程专题培训、保洁员院感知识专题培训21批次，培训人数2257人；开展全院院感知识竞赛2轮次；持续提升医院感染防控能力。常态化开展院感督查，发现问题765个，提出整改建议745条，大部分已整改到位；调查手卫生时机1.02万次，手卫生正确率96.41%。成功举办全市医院感染管理质控会议和院感管理专业委员会年会、全市“提高住院患者抗菌药物治疗前病原学送检率”专项培训班、全市院感防控青年演讲大赛和湖南省医院感染管理“两网一会”年会；作为市级质控中心对全市71家医疗机构开展院感专项督查；被评为“湖南省先进院感质量控制中心”“岳阳市优秀医疗质量控制中心”。</w:t>
            </w:r>
          </w:p>
          <w:p w14:paraId="122C9B3B">
            <w:pPr>
              <w:pStyle w:val="2"/>
              <w:spacing w:line="560" w:lineRule="exact"/>
              <w:rPr>
                <w:rFonts w:hint="eastAsia" w:ascii="仿宋" w:hAnsi="仿宋" w:eastAsia="仿宋" w:cs="仿宋"/>
                <w:sz w:val="15"/>
                <w:szCs w:val="15"/>
              </w:rPr>
            </w:pPr>
            <w:r>
              <w:rPr>
                <w:rFonts w:hint="eastAsia" w:ascii="仿宋" w:hAnsi="仿宋" w:eastAsia="仿宋" w:cs="仿宋"/>
                <w:b/>
                <w:bCs/>
                <w:sz w:val="15"/>
                <w:szCs w:val="15"/>
                <w:lang w:val="en-US" w:eastAsia="zh-CN"/>
              </w:rPr>
              <w:t>10</w:t>
            </w:r>
            <w:r>
              <w:rPr>
                <w:rFonts w:hint="eastAsia" w:ascii="仿宋" w:hAnsi="仿宋" w:eastAsia="仿宋" w:cs="仿宋"/>
                <w:b/>
                <w:bCs/>
                <w:sz w:val="15"/>
                <w:szCs w:val="15"/>
              </w:rPr>
              <w:t>.门诊就医更加温馨便捷。一是</w:t>
            </w:r>
            <w:r>
              <w:rPr>
                <w:rFonts w:hint="eastAsia" w:ascii="仿宋" w:hAnsi="仿宋" w:eastAsia="仿宋" w:cs="仿宋"/>
                <w:sz w:val="15"/>
                <w:szCs w:val="15"/>
              </w:rPr>
              <w:t>优化门诊患者采血流程。将采血室搬迁至新门诊楼一楼大厅，减少采血患者的问询频次，缩短患者行动路程。</w:t>
            </w:r>
            <w:r>
              <w:rPr>
                <w:rFonts w:hint="eastAsia" w:ascii="仿宋" w:hAnsi="仿宋" w:eastAsia="仿宋" w:cs="仿宋"/>
                <w:b/>
                <w:bCs/>
                <w:sz w:val="15"/>
                <w:szCs w:val="15"/>
              </w:rPr>
              <w:t>二是</w:t>
            </w:r>
            <w:r>
              <w:rPr>
                <w:rFonts w:hint="eastAsia" w:ascii="仿宋" w:hAnsi="仿宋" w:eastAsia="仿宋" w:cs="仿宋"/>
                <w:sz w:val="15"/>
                <w:szCs w:val="15"/>
              </w:rPr>
              <w:t>积极推行一站式诊疗。成立产后康复诊疗中心，在产科诊区增设超声检查和静脉采血处，实现产科门诊一站式诊疗。</w:t>
            </w:r>
            <w:r>
              <w:rPr>
                <w:rFonts w:hint="eastAsia" w:ascii="仿宋" w:hAnsi="仿宋" w:eastAsia="仿宋" w:cs="仿宋"/>
                <w:b/>
                <w:bCs/>
                <w:sz w:val="15"/>
                <w:szCs w:val="15"/>
              </w:rPr>
              <w:t>三是</w:t>
            </w:r>
            <w:r>
              <w:rPr>
                <w:rFonts w:hint="eastAsia" w:ascii="仿宋" w:hAnsi="仿宋" w:eastAsia="仿宋" w:cs="仿宋"/>
                <w:sz w:val="15"/>
                <w:szCs w:val="15"/>
              </w:rPr>
              <w:t>完成妇科门诊一体化改造，提高妇科患者诊疗效率。</w:t>
            </w:r>
            <w:r>
              <w:rPr>
                <w:rFonts w:hint="eastAsia" w:ascii="仿宋" w:hAnsi="仿宋" w:eastAsia="仿宋" w:cs="仿宋"/>
                <w:b/>
                <w:bCs/>
                <w:sz w:val="15"/>
                <w:szCs w:val="15"/>
              </w:rPr>
              <w:t>四是</w:t>
            </w:r>
            <w:r>
              <w:rPr>
                <w:rFonts w:hint="eastAsia" w:ascii="仿宋" w:hAnsi="仿宋" w:eastAsia="仿宋" w:cs="仿宋"/>
                <w:sz w:val="15"/>
                <w:szCs w:val="15"/>
              </w:rPr>
              <w:t>优化影像检查服务流程，打造集影像检查登记、问询、报到、改签预约、报告打印等功能于一体的影像检查服务中心，极大方便了患者，提高了服务效率。</w:t>
            </w:r>
            <w:r>
              <w:rPr>
                <w:rFonts w:hint="eastAsia" w:ascii="仿宋" w:hAnsi="仿宋" w:eastAsia="仿宋" w:cs="仿宋"/>
                <w:b/>
                <w:bCs/>
                <w:sz w:val="15"/>
                <w:szCs w:val="15"/>
              </w:rPr>
              <w:t>五是</w:t>
            </w:r>
            <w:r>
              <w:rPr>
                <w:rFonts w:hint="eastAsia" w:ascii="仿宋" w:hAnsi="仿宋" w:eastAsia="仿宋" w:cs="仿宋"/>
                <w:sz w:val="15"/>
                <w:szCs w:val="15"/>
              </w:rPr>
              <w:t>优化门诊康复诊疗布局，将康复诊疗前移，增设门诊运动康复诊疗区，实现康复一条龙服务。</w:t>
            </w:r>
            <w:r>
              <w:rPr>
                <w:rFonts w:hint="eastAsia" w:ascii="仿宋" w:hAnsi="仿宋" w:eastAsia="仿宋" w:cs="仿宋"/>
                <w:b/>
                <w:bCs/>
                <w:sz w:val="15"/>
                <w:szCs w:val="15"/>
              </w:rPr>
              <w:t>六是</w:t>
            </w:r>
            <w:r>
              <w:rPr>
                <w:rFonts w:hint="eastAsia" w:ascii="仿宋" w:hAnsi="仿宋" w:eastAsia="仿宋" w:cs="仿宋"/>
                <w:sz w:val="15"/>
                <w:szCs w:val="15"/>
              </w:rPr>
              <w:t>弘扬国粹，在门诊开设“中医馆”，提供中医针灸康复及美容项目服务，反响良好。全年门诊满意度平均91.5分，投诉率同比下降41.3%。</w:t>
            </w:r>
          </w:p>
          <w:p w14:paraId="1C6A1351">
            <w:pPr>
              <w:autoSpaceDN w:val="0"/>
              <w:jc w:val="left"/>
              <w:textAlignment w:val="center"/>
              <w:rPr>
                <w:rFonts w:hint="eastAsia" w:ascii="仿宋_GB2312" w:hAnsi="仿宋_GB2312" w:eastAsia="仿宋_GB2312" w:cs="仿宋_GB2312"/>
                <w:color w:val="000000"/>
                <w:sz w:val="24"/>
              </w:rPr>
            </w:pPr>
            <w:r>
              <w:rPr>
                <w:rFonts w:hint="eastAsia" w:ascii="仿宋" w:hAnsi="仿宋" w:eastAsia="仿宋" w:cs="仿宋"/>
                <w:b/>
                <w:sz w:val="15"/>
                <w:szCs w:val="15"/>
                <w:lang w:val="en-US" w:eastAsia="zh-CN"/>
              </w:rPr>
              <w:t>11</w:t>
            </w:r>
            <w:r>
              <w:rPr>
                <w:rFonts w:hint="eastAsia" w:ascii="仿宋" w:hAnsi="仿宋" w:eastAsia="仿宋" w:cs="仿宋"/>
                <w:b/>
                <w:sz w:val="15"/>
                <w:szCs w:val="15"/>
              </w:rPr>
              <w:t>.护理服务更加优质高效。一是护理技术创新发展。</w:t>
            </w:r>
            <w:r>
              <w:rPr>
                <w:rFonts w:hint="eastAsia" w:ascii="仿宋" w:hAnsi="仿宋" w:eastAsia="仿宋" w:cs="仿宋"/>
                <w:bCs/>
                <w:sz w:val="15"/>
                <w:szCs w:val="15"/>
              </w:rPr>
              <w:t>举办2024年护理新技术新项目论证会，审核开展14个新技术。</w:t>
            </w:r>
            <w:r>
              <w:rPr>
                <w:rFonts w:hint="eastAsia" w:ascii="仿宋" w:hAnsi="仿宋" w:eastAsia="仿宋" w:cs="仿宋"/>
                <w:sz w:val="15"/>
                <w:szCs w:val="15"/>
              </w:rPr>
              <w:t>成功开展医院首届护士技能大赛，共有20个护理单元获团体奖，41位护士获单项奖。</w:t>
            </w:r>
            <w:r>
              <w:rPr>
                <w:rFonts w:hint="eastAsia" w:ascii="仿宋" w:hAnsi="仿宋" w:eastAsia="仿宋" w:cs="仿宋"/>
                <w:bCs/>
                <w:sz w:val="15"/>
                <w:szCs w:val="15"/>
              </w:rPr>
              <w:t>3个项目获岳阳市首届护理创新项目奖；荣获第四届最佳临床护理实践案例竞赛岳阳市一等奖、湖南省二等奖。</w:t>
            </w:r>
            <w:r>
              <w:rPr>
                <w:rFonts w:hint="eastAsia" w:ascii="仿宋" w:hAnsi="仿宋" w:eastAsia="仿宋" w:cs="仿宋"/>
                <w:sz w:val="15"/>
                <w:szCs w:val="15"/>
              </w:rPr>
              <w:t>开办护理科研选题与论文撰写专题培训班，不断提升护理技术水平。成功立项湖南省自然科学基金区域联合项目1项。组织全院护士参加湖南省“三基”水平测试，参考率、合格率均为100%。先后与临湘市人民医院、岳阳市四人民医院等8家单位建立护理专科联盟，促进护理学科持续发展。成功开展科普视频竞赛，不断提升健康科普水平。</w:t>
            </w:r>
            <w:r>
              <w:rPr>
                <w:rFonts w:hint="eastAsia" w:ascii="仿宋" w:hAnsi="仿宋" w:eastAsia="仿宋" w:cs="仿宋"/>
                <w:b/>
                <w:bCs/>
                <w:sz w:val="15"/>
                <w:szCs w:val="15"/>
              </w:rPr>
              <w:t>二是护理管理更趋精益。</w:t>
            </w:r>
            <w:r>
              <w:rPr>
                <w:rFonts w:hint="eastAsia" w:ascii="仿宋" w:hAnsi="仿宋" w:eastAsia="仿宋" w:cs="仿宋"/>
                <w:bCs/>
                <w:sz w:val="15"/>
                <w:szCs w:val="15"/>
              </w:rPr>
              <w:t>成立院级护理质控追踪整改督查小组。开展管道、高危跌倒、药品管理等专项督查及护理不良事件安全警示教育，制定《造影剂外渗处理流程》等共6项管理规定与流程，修订《患者走失应急预案与处理流程》等共8项管理规定与流程，实行节假日部分专科合科管理、常规应急和危急重症应急队员双排班、护理部和护士长双值班的弹性管理模式，更大程度保障患者安全。</w:t>
            </w:r>
            <w:r>
              <w:rPr>
                <w:rFonts w:hint="eastAsia" w:ascii="仿宋" w:hAnsi="仿宋" w:eastAsia="仿宋" w:cs="仿宋"/>
                <w:b/>
                <w:sz w:val="15"/>
                <w:szCs w:val="15"/>
              </w:rPr>
              <w:t>三是护理服务更加优质。</w:t>
            </w:r>
            <w:r>
              <w:rPr>
                <w:rFonts w:hint="eastAsia" w:ascii="仿宋" w:hAnsi="仿宋" w:eastAsia="仿宋" w:cs="仿宋"/>
                <w:bCs/>
                <w:sz w:val="15"/>
                <w:szCs w:val="15"/>
              </w:rPr>
              <w:t>深入开展34个护理质量改善案和1个品管圈活动；在全院推广MEWS评分，早期预警病情变化；制定《患者心理健康管理工作流程》，为患者进行心理干预，促进患者心理健康，避免意外事件发生。</w:t>
            </w:r>
            <w:r>
              <w:rPr>
                <w:rFonts w:hint="eastAsia" w:ascii="仿宋" w:hAnsi="仿宋" w:eastAsia="仿宋" w:cs="仿宋"/>
                <w:bCs/>
                <w:sz w:val="15"/>
                <w:szCs w:val="15"/>
                <w:shd w:val="clear" w:color="auto" w:fill="FFFFFF"/>
              </w:rPr>
              <w:t>全院推行一特色、二关爱、三体验、四举措“1234”卓越护理服务。如中医科大力推广中医适宜技术，</w:t>
            </w:r>
            <w:r>
              <w:rPr>
                <w:rFonts w:hint="eastAsia" w:ascii="仿宋" w:hAnsi="仿宋" w:eastAsia="仿宋" w:cs="仿宋"/>
                <w:sz w:val="15"/>
                <w:szCs w:val="15"/>
                <w:shd w:val="clear" w:color="auto" w:fill="FFFFFF"/>
              </w:rPr>
              <w:t>改善失眠患者睡眠情况；内分泌科开展院外血糖管理，对行动不便的患者专人护送入院；神经内科一病区倾力打造安静病房；产科针对孕产妇开展一对一全程管理，降低妊娠并发症等，受到患者好评。</w:t>
            </w:r>
          </w:p>
        </w:tc>
      </w:tr>
      <w:tr w14:paraId="4B3AF3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40" w:type="dxa"/>
            <w:gridSpan w:val="3"/>
            <w:vMerge w:val="restart"/>
            <w:noWrap w:val="0"/>
            <w:vAlign w:val="center"/>
          </w:tcPr>
          <w:p w14:paraId="5BB43624">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整体支出</w:t>
            </w:r>
          </w:p>
          <w:p w14:paraId="40FF5268">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绩效定量目标及实施计划完成情况</w:t>
            </w:r>
          </w:p>
        </w:tc>
        <w:tc>
          <w:tcPr>
            <w:tcW w:w="2667" w:type="dxa"/>
            <w:gridSpan w:val="4"/>
            <w:noWrap w:val="0"/>
            <w:vAlign w:val="center"/>
          </w:tcPr>
          <w:p w14:paraId="0143B1F9">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评价内容</w:t>
            </w:r>
          </w:p>
        </w:tc>
        <w:tc>
          <w:tcPr>
            <w:tcW w:w="2709" w:type="dxa"/>
            <w:gridSpan w:val="4"/>
            <w:noWrap w:val="0"/>
            <w:vAlign w:val="center"/>
          </w:tcPr>
          <w:p w14:paraId="6EFE69E2">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绩效目标</w:t>
            </w:r>
          </w:p>
        </w:tc>
        <w:tc>
          <w:tcPr>
            <w:tcW w:w="2684" w:type="dxa"/>
            <w:gridSpan w:val="6"/>
            <w:noWrap w:val="0"/>
            <w:vAlign w:val="center"/>
          </w:tcPr>
          <w:p w14:paraId="09C057AF">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完成情况</w:t>
            </w:r>
          </w:p>
        </w:tc>
      </w:tr>
      <w:tr w14:paraId="4E4B9F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950" w:hRule="atLeast"/>
          <w:jc w:val="center"/>
        </w:trPr>
        <w:tc>
          <w:tcPr>
            <w:tcW w:w="1740" w:type="dxa"/>
            <w:gridSpan w:val="3"/>
            <w:vMerge w:val="continue"/>
            <w:noWrap w:val="0"/>
            <w:vAlign w:val="center"/>
          </w:tcPr>
          <w:p w14:paraId="2D5F059F">
            <w:pPr>
              <w:spacing w:line="320" w:lineRule="exact"/>
              <w:rPr>
                <w:rFonts w:hint="eastAsia" w:ascii="仿宋_GB2312" w:hAnsi="仿宋_GB2312" w:eastAsia="仿宋_GB2312" w:cs="仿宋_GB2312"/>
                <w:sz w:val="24"/>
              </w:rPr>
            </w:pPr>
          </w:p>
        </w:tc>
        <w:tc>
          <w:tcPr>
            <w:tcW w:w="1250" w:type="dxa"/>
            <w:gridSpan w:val="2"/>
            <w:vMerge w:val="restart"/>
            <w:noWrap w:val="0"/>
            <w:vAlign w:val="center"/>
          </w:tcPr>
          <w:p w14:paraId="3908B12A">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产出目标</w:t>
            </w:r>
          </w:p>
          <w:p w14:paraId="4AC0B6E5">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（部门工作实绩，包含上级部门和市委市政府布置的重点工作、实事任务等，根据部门实际进行调整细化）</w:t>
            </w:r>
          </w:p>
        </w:tc>
        <w:tc>
          <w:tcPr>
            <w:tcW w:w="1417" w:type="dxa"/>
            <w:gridSpan w:val="2"/>
            <w:vMerge w:val="restart"/>
            <w:noWrap w:val="0"/>
            <w:vAlign w:val="center"/>
          </w:tcPr>
          <w:p w14:paraId="41CD1AFA">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质量指标</w:t>
            </w:r>
          </w:p>
        </w:tc>
        <w:tc>
          <w:tcPr>
            <w:tcW w:w="2709" w:type="dxa"/>
            <w:gridSpan w:val="4"/>
            <w:noWrap w:val="0"/>
            <w:vAlign w:val="center"/>
          </w:tcPr>
          <w:p w14:paraId="33C6E097">
            <w:pPr>
              <w:autoSpaceDN w:val="0"/>
              <w:spacing w:line="320" w:lineRule="exact"/>
              <w:jc w:val="left"/>
              <w:textAlignment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医疗质量稳步提升</w:t>
            </w:r>
          </w:p>
        </w:tc>
        <w:tc>
          <w:tcPr>
            <w:tcW w:w="2684" w:type="dxa"/>
            <w:gridSpan w:val="6"/>
            <w:noWrap w:val="0"/>
            <w:vAlign w:val="center"/>
          </w:tcPr>
          <w:p w14:paraId="4992F158">
            <w:pPr>
              <w:pStyle w:val="5"/>
              <w:spacing w:line="580" w:lineRule="exact"/>
              <w:ind w:firstLine="301" w:firstLineChars="200"/>
              <w:rPr>
                <w:rFonts w:hint="eastAsia" w:ascii="仿宋" w:hAnsi="仿宋" w:eastAsia="仿宋" w:cs="仿宋"/>
                <w:sz w:val="15"/>
                <w:szCs w:val="15"/>
              </w:rPr>
            </w:pPr>
            <w:r>
              <w:rPr>
                <w:rFonts w:hint="eastAsia" w:ascii="仿宋" w:hAnsi="仿宋" w:eastAsia="仿宋" w:cs="仿宋"/>
                <w:b/>
                <w:kern w:val="24"/>
                <w:sz w:val="15"/>
                <w:szCs w:val="15"/>
              </w:rPr>
              <w:t>1.大力推进临床重点学科建设。</w:t>
            </w:r>
            <w:r>
              <w:rPr>
                <w:rFonts w:hint="eastAsia" w:ascii="仿宋" w:hAnsi="仿宋" w:eastAsia="仿宋" w:cs="仿宋"/>
                <w:sz w:val="15"/>
                <w:szCs w:val="15"/>
              </w:rPr>
              <w:t>院长亲自主导，成立学科办，制定医院学科发展纲要，多次组织召开重点专科建设评估汇报会、重点学科建设研讨推进会，进一步强化学科建设顶层设计，凝聚全院学科建设合力。对照国家和省级重点专科建设标准，细化工作目标和职责分工，明确工作任务与时间表，强化工作督导与绩效考核，推进学科建设迈上新台阶。</w:t>
            </w:r>
          </w:p>
          <w:p w14:paraId="227A68F7">
            <w:pPr>
              <w:ind w:firstLine="301" w:firstLineChars="200"/>
              <w:rPr>
                <w:rFonts w:hint="eastAsia" w:ascii="仿宋" w:hAnsi="仿宋" w:eastAsia="仿宋" w:cs="仿宋"/>
                <w:sz w:val="15"/>
                <w:szCs w:val="15"/>
              </w:rPr>
            </w:pPr>
            <w:r>
              <w:rPr>
                <w:rFonts w:hint="eastAsia" w:ascii="仿宋" w:hAnsi="仿宋" w:eastAsia="仿宋" w:cs="仿宋"/>
                <w:b/>
                <w:sz w:val="15"/>
                <w:szCs w:val="15"/>
              </w:rPr>
              <w:t>2.扎实开展“全面提升医疗质量三年行动”。一是</w:t>
            </w:r>
            <w:r>
              <w:rPr>
                <w:rFonts w:hint="eastAsia" w:ascii="仿宋" w:hAnsi="仿宋" w:eastAsia="仿宋" w:cs="仿宋"/>
                <w:sz w:val="15"/>
                <w:szCs w:val="15"/>
              </w:rPr>
              <w:t>成立工作专班，明确年度工作主题，每月召开专门会议推进工作。</w:t>
            </w:r>
            <w:r>
              <w:rPr>
                <w:rFonts w:hint="eastAsia" w:ascii="仿宋" w:hAnsi="仿宋" w:eastAsia="仿宋" w:cs="仿宋"/>
                <w:b/>
                <w:bCs/>
                <w:sz w:val="15"/>
                <w:szCs w:val="15"/>
              </w:rPr>
              <w:t>二是</w:t>
            </w:r>
            <w:r>
              <w:rPr>
                <w:rFonts w:hint="eastAsia" w:ascii="仿宋" w:hAnsi="仿宋" w:eastAsia="仿宋" w:cs="仿宋"/>
                <w:sz w:val="15"/>
                <w:szCs w:val="15"/>
              </w:rPr>
              <w:t>成立质控中心管理委员会，制定相关工作方案，新增麻醉、VTE规范化防治、妇科内镜等3个市级质控中心，予以17个挂靠医院的质控中心每年各8万元工作经费，面向全市开展规范化培训13场次，切实推动区域医疗协同发展。</w:t>
            </w:r>
            <w:r>
              <w:rPr>
                <w:rFonts w:hint="eastAsia" w:ascii="仿宋" w:hAnsi="仿宋" w:eastAsia="仿宋" w:cs="仿宋"/>
                <w:b/>
                <w:bCs/>
                <w:sz w:val="15"/>
                <w:szCs w:val="15"/>
              </w:rPr>
              <w:t>三是</w:t>
            </w:r>
            <w:r>
              <w:rPr>
                <w:rFonts w:hint="eastAsia" w:ascii="仿宋" w:hAnsi="仿宋" w:eastAsia="仿宋" w:cs="仿宋"/>
                <w:sz w:val="15"/>
                <w:szCs w:val="15"/>
              </w:rPr>
              <w:t>制定《病历内涵质量提升三年行动实施方案》，定期开展死亡病历质控、优秀病历评选，7份病案获“市级十佳病案”，4份病案获“市级优秀病案”1份病案获省级“百佳病案”。</w:t>
            </w:r>
            <w:r>
              <w:rPr>
                <w:rFonts w:hint="eastAsia" w:ascii="仿宋" w:hAnsi="仿宋" w:eastAsia="仿宋" w:cs="仿宋"/>
                <w:b/>
                <w:bCs/>
                <w:sz w:val="15"/>
                <w:szCs w:val="15"/>
              </w:rPr>
              <w:t>四是</w:t>
            </w:r>
            <w:r>
              <w:rPr>
                <w:rFonts w:hint="eastAsia" w:ascii="仿宋" w:hAnsi="仿宋" w:eastAsia="仿宋" w:cs="仿宋"/>
                <w:sz w:val="15"/>
                <w:szCs w:val="15"/>
              </w:rPr>
              <w:t>院级专家指导科室开展死亡病例讨论，每月形成死亡病例质控总结，全院通报警示，持续改进</w:t>
            </w:r>
            <w:r>
              <w:rPr>
                <w:rFonts w:hint="eastAsia" w:ascii="仿宋" w:hAnsi="仿宋" w:eastAsia="仿宋" w:cs="仿宋"/>
                <w:color w:val="0000FF"/>
                <w:sz w:val="15"/>
                <w:szCs w:val="15"/>
              </w:rPr>
              <w:t>。</w:t>
            </w:r>
            <w:r>
              <w:rPr>
                <w:rFonts w:hint="eastAsia" w:ascii="仿宋" w:hAnsi="仿宋" w:eastAsia="仿宋" w:cs="仿宋"/>
                <w:sz w:val="15"/>
                <w:szCs w:val="15"/>
              </w:rPr>
              <w:t>医院被省卫健委确定为全省公立医院高质量发展示范性医院建设单位。</w:t>
            </w:r>
          </w:p>
          <w:p w14:paraId="629850A8">
            <w:pPr>
              <w:spacing w:line="360" w:lineRule="auto"/>
              <w:ind w:firstLine="301" w:firstLineChars="200"/>
              <w:rPr>
                <w:rFonts w:hint="eastAsia" w:ascii="仿宋" w:hAnsi="仿宋" w:eastAsia="仿宋" w:cs="仿宋"/>
                <w:bCs/>
                <w:color w:val="000000"/>
                <w:sz w:val="15"/>
                <w:szCs w:val="15"/>
              </w:rPr>
            </w:pPr>
            <w:r>
              <w:rPr>
                <w:rFonts w:hint="eastAsia" w:ascii="仿宋" w:hAnsi="仿宋" w:eastAsia="仿宋" w:cs="仿宋"/>
                <w:b/>
                <w:color w:val="000000"/>
                <w:sz w:val="15"/>
                <w:szCs w:val="15"/>
              </w:rPr>
              <w:t>3.全面开展手术精益管理年活动。</w:t>
            </w:r>
            <w:r>
              <w:rPr>
                <w:rFonts w:hint="eastAsia" w:ascii="仿宋" w:hAnsi="仿宋" w:eastAsia="仿宋" w:cs="仿宋"/>
                <w:bCs/>
                <w:color w:val="000000"/>
                <w:sz w:val="15"/>
                <w:szCs w:val="15"/>
              </w:rPr>
              <w:t>围绕《2024年国家医疗质量安全改进目标》，扎实推进手术质量安全提升行动，进一步完善手术相关管理制度，规范手术授权，定期开展手术质量安全督导。</w:t>
            </w:r>
            <w:r>
              <w:rPr>
                <w:rFonts w:hint="eastAsia" w:ascii="仿宋" w:hAnsi="仿宋" w:eastAsia="仿宋" w:cs="仿宋"/>
                <w:color w:val="000000"/>
                <w:kern w:val="0"/>
                <w:sz w:val="15"/>
                <w:szCs w:val="15"/>
              </w:rPr>
              <w:t>制定急诊手术绿色通道管理流程，明确各科室职责，做到责权明晰，诊疗规范。</w:t>
            </w:r>
            <w:r>
              <w:rPr>
                <w:rFonts w:hint="eastAsia" w:ascii="仿宋" w:hAnsi="仿宋" w:eastAsia="仿宋" w:cs="仿宋"/>
                <w:bCs/>
                <w:color w:val="000000"/>
                <w:sz w:val="15"/>
                <w:szCs w:val="15"/>
              </w:rPr>
              <w:t>成功举办医院第一届规范化手术病例大赛，38位选手同台竞技，在全院掀起以赛促进、全面提升手术质量的热潮。全院开展手术规范化演示6场，开展临床新技术项目57项，3项新技术荣获市级“十大新技术奖”。</w:t>
            </w:r>
          </w:p>
          <w:p w14:paraId="679C9C7A">
            <w:pPr>
              <w:pStyle w:val="11"/>
              <w:widowControl/>
              <w:shd w:val="clear" w:color="auto" w:fill="FFFFFF"/>
              <w:spacing w:line="360" w:lineRule="auto"/>
              <w:ind w:firstLine="640"/>
              <w:jc w:val="left"/>
              <w:rPr>
                <w:rFonts w:hint="eastAsia" w:ascii="仿宋" w:hAnsi="仿宋" w:eastAsia="仿宋" w:cs="仿宋"/>
                <w:color w:val="000000"/>
                <w:kern w:val="0"/>
                <w:sz w:val="15"/>
                <w:szCs w:val="15"/>
              </w:rPr>
            </w:pPr>
            <w:r>
              <w:rPr>
                <w:rFonts w:hint="eastAsia" w:ascii="仿宋" w:hAnsi="仿宋" w:eastAsia="仿宋" w:cs="仿宋"/>
                <w:color w:val="000000"/>
                <w:kern w:val="0"/>
                <w:sz w:val="15"/>
                <w:szCs w:val="15"/>
              </w:rPr>
              <w:t>4.</w:t>
            </w:r>
            <w:r>
              <w:rPr>
                <w:rFonts w:hint="eastAsia" w:ascii="仿宋" w:hAnsi="仿宋" w:eastAsia="仿宋" w:cs="仿宋"/>
                <w:b/>
                <w:bCs/>
                <w:color w:val="000000"/>
                <w:kern w:val="0"/>
                <w:sz w:val="15"/>
                <w:szCs w:val="15"/>
              </w:rPr>
              <w:t>深化VTE规范化防治。</w:t>
            </w:r>
            <w:r>
              <w:rPr>
                <w:rFonts w:hint="eastAsia" w:ascii="仿宋" w:hAnsi="仿宋" w:eastAsia="仿宋" w:cs="仿宋"/>
                <w:color w:val="000000"/>
                <w:kern w:val="0"/>
                <w:sz w:val="15"/>
                <w:szCs w:val="15"/>
              </w:rPr>
              <w:t>参与王辰院士领衔、中日友好医院牵头的中国住院患者静脉血栓栓塞症预防策略研究项目，是全省4家当选医院之一。被中华医学会评为全国肺栓塞系统化研究优秀参研单位，并高分通过全国VTE防治能力评审，成为优秀VTE防治中心。</w:t>
            </w:r>
          </w:p>
          <w:p w14:paraId="2B6DD03A">
            <w:pPr>
              <w:spacing w:line="360" w:lineRule="auto"/>
              <w:ind w:firstLine="301" w:firstLineChars="200"/>
              <w:rPr>
                <w:rFonts w:hint="eastAsia" w:ascii="仿宋" w:hAnsi="仿宋" w:eastAsia="仿宋" w:cs="仿宋"/>
                <w:sz w:val="15"/>
                <w:szCs w:val="15"/>
              </w:rPr>
            </w:pPr>
            <w:r>
              <w:rPr>
                <w:rFonts w:hint="eastAsia" w:ascii="仿宋" w:hAnsi="仿宋" w:eastAsia="仿宋" w:cs="仿宋"/>
                <w:b/>
                <w:bCs/>
                <w:sz w:val="15"/>
                <w:szCs w:val="15"/>
              </w:rPr>
              <w:t>5.稳步推进五大中心建设。</w:t>
            </w:r>
            <w:r>
              <w:rPr>
                <w:rFonts w:hint="eastAsia" w:ascii="仿宋" w:hAnsi="仿宋" w:eastAsia="仿宋" w:cs="仿宋"/>
                <w:b/>
                <w:sz w:val="15"/>
                <w:szCs w:val="15"/>
              </w:rPr>
              <w:t>胸痛中心</w:t>
            </w:r>
            <w:r>
              <w:rPr>
                <w:rFonts w:hint="eastAsia" w:ascii="仿宋" w:hAnsi="仿宋" w:eastAsia="仿宋" w:cs="仿宋"/>
                <w:bCs/>
                <w:sz w:val="15"/>
                <w:szCs w:val="15"/>
              </w:rPr>
              <w:t>完成急性心肌梗死急诊介入治疗手术136台次，ST段抬高心肌梗死病人平均门球（D2B）时间70分钟，达标率83%；发病12小时再灌注率93%。</w:t>
            </w:r>
            <w:r>
              <w:rPr>
                <w:rFonts w:hint="eastAsia" w:ascii="仿宋" w:hAnsi="仿宋" w:eastAsia="仿宋" w:cs="仿宋"/>
                <w:b/>
                <w:sz w:val="15"/>
                <w:szCs w:val="15"/>
              </w:rPr>
              <w:t>卒中中心</w:t>
            </w:r>
            <w:r>
              <w:rPr>
                <w:rFonts w:hint="eastAsia" w:ascii="仿宋" w:hAnsi="仿宋" w:eastAsia="仿宋" w:cs="仿宋"/>
                <w:bCs/>
                <w:sz w:val="15"/>
                <w:szCs w:val="15"/>
              </w:rPr>
              <w:t>成功开展静脉溶栓86例，DNT中位数47min；开展院内外健康讲座、义诊33次，基层培训6次,院内培训3次；完成卒中患者床旁建档1603例，卒中患者电话随访4782例。</w:t>
            </w:r>
            <w:r>
              <w:rPr>
                <w:rFonts w:hint="eastAsia" w:ascii="仿宋" w:hAnsi="仿宋" w:eastAsia="仿宋" w:cs="仿宋"/>
                <w:b/>
                <w:sz w:val="15"/>
                <w:szCs w:val="15"/>
              </w:rPr>
              <w:t>创伤中心</w:t>
            </w:r>
            <w:r>
              <w:rPr>
                <w:rFonts w:hint="eastAsia" w:ascii="仿宋" w:hAnsi="仿宋" w:eastAsia="仿宋" w:cs="仿宋"/>
                <w:bCs/>
                <w:sz w:val="15"/>
                <w:szCs w:val="15"/>
              </w:rPr>
              <w:t>收治严重创伤50人，总治愈率82.7%；荣获“中国创伤救治联盟会员单位”授牌，并在全市首创召开创伤MHT会议，先后到华容、临湘等6县区开展创伤技术指导与帮扶，积极提升全市创伤救治水平；工作案例荣获湖南省“改善就医感受，提升患者体验”比赛“十佳案例”，并被遴选为国家创伤联盟创伤中心建设典型案例。</w:t>
            </w:r>
            <w:r>
              <w:rPr>
                <w:rFonts w:hint="eastAsia" w:ascii="仿宋" w:hAnsi="仿宋" w:eastAsia="仿宋" w:cs="仿宋"/>
                <w:b/>
                <w:sz w:val="15"/>
                <w:szCs w:val="15"/>
              </w:rPr>
              <w:t>孕产妇救治中心</w:t>
            </w:r>
            <w:r>
              <w:rPr>
                <w:rFonts w:hint="eastAsia" w:ascii="仿宋" w:hAnsi="仿宋" w:eastAsia="仿宋" w:cs="仿宋"/>
                <w:bCs/>
                <w:sz w:val="15"/>
                <w:szCs w:val="15"/>
              </w:rPr>
              <w:t>全年</w:t>
            </w:r>
            <w:r>
              <w:rPr>
                <w:rFonts w:hint="eastAsia" w:ascii="仿宋" w:hAnsi="仿宋" w:eastAsia="仿宋" w:cs="仿宋"/>
                <w:sz w:val="15"/>
                <w:szCs w:val="15"/>
              </w:rPr>
              <w:t>共救治危重孕产妇26例，抢救成功率100%。</w:t>
            </w:r>
          </w:p>
          <w:p w14:paraId="24611D41">
            <w:pPr>
              <w:spacing w:line="360" w:lineRule="auto"/>
              <w:ind w:firstLine="301" w:firstLineChars="200"/>
              <w:rPr>
                <w:rFonts w:hint="eastAsia" w:ascii="仿宋" w:hAnsi="仿宋" w:eastAsia="仿宋" w:cs="仿宋"/>
                <w:bCs/>
                <w:sz w:val="15"/>
                <w:szCs w:val="15"/>
              </w:rPr>
            </w:pPr>
            <w:r>
              <w:rPr>
                <w:rFonts w:hint="eastAsia" w:ascii="仿宋" w:hAnsi="仿宋" w:eastAsia="仿宋" w:cs="仿宋"/>
                <w:b/>
                <w:bCs/>
                <w:sz w:val="15"/>
                <w:szCs w:val="15"/>
              </w:rPr>
              <w:t>6.大力推广多学科联合诊疗。</w:t>
            </w:r>
            <w:r>
              <w:rPr>
                <w:rFonts w:hint="eastAsia" w:ascii="仿宋" w:hAnsi="仿宋" w:eastAsia="仿宋" w:cs="仿宋"/>
                <w:bCs/>
                <w:sz w:val="15"/>
                <w:szCs w:val="15"/>
              </w:rPr>
              <w:t>进一步强化全院33个MDT病种管理，其中肺癌MDT、乳腺癌MDT、罕见病MDT、肺栓塞MDT、糖尿病足MDT得到较快发展。罕见病MDT团队组织召开了罕见病诊治调研座谈会，肺栓塞MDT成立了急性肺栓塞诊治快速反应团队（PERT），全年因急性肺栓塞死亡病例下降为0例。糖尿病足MDT新增中医科、疼痛科专家，在全市首创开展糖尿病足下肢动脉闭塞患者脊髓电刺激治疗，取得良好疗效。</w:t>
            </w:r>
          </w:p>
          <w:p w14:paraId="47166D5B">
            <w:pPr>
              <w:spacing w:line="360" w:lineRule="auto"/>
              <w:ind w:firstLine="301" w:firstLineChars="200"/>
              <w:rPr>
                <w:rFonts w:hint="eastAsia" w:ascii="仿宋" w:hAnsi="仿宋" w:eastAsia="仿宋" w:cs="仿宋"/>
                <w:bCs/>
                <w:sz w:val="15"/>
                <w:szCs w:val="15"/>
              </w:rPr>
            </w:pPr>
            <w:r>
              <w:rPr>
                <w:rFonts w:hint="eastAsia" w:ascii="仿宋" w:hAnsi="仿宋" w:eastAsia="仿宋" w:cs="仿宋"/>
                <w:b/>
                <w:bCs/>
                <w:sz w:val="15"/>
                <w:szCs w:val="15"/>
              </w:rPr>
              <w:t>7.不断加强临床路径管理。</w:t>
            </w:r>
            <w:r>
              <w:rPr>
                <w:rFonts w:hint="eastAsia" w:ascii="仿宋" w:hAnsi="仿宋" w:eastAsia="仿宋" w:cs="仿宋"/>
                <w:bCs/>
                <w:sz w:val="15"/>
                <w:szCs w:val="15"/>
              </w:rPr>
              <w:t>召开临床路径工作推进会2次，完善临床路径建设工作方案，确定基本病种目录，搭建信息化操作平台。截止12月，全院实行临床路径科室36个，对出院患者按照临床路径管理占比16.02%。</w:t>
            </w:r>
          </w:p>
          <w:p w14:paraId="56CA903E">
            <w:pPr>
              <w:ind w:firstLine="301" w:firstLineChars="200"/>
              <w:rPr>
                <w:rFonts w:hint="eastAsia" w:ascii="仿宋" w:hAnsi="仿宋" w:eastAsia="仿宋" w:cs="仿宋"/>
                <w:sz w:val="15"/>
                <w:szCs w:val="15"/>
              </w:rPr>
            </w:pPr>
            <w:r>
              <w:rPr>
                <w:rFonts w:hint="eastAsia" w:ascii="仿宋" w:hAnsi="仿宋" w:eastAsia="仿宋" w:cs="仿宋"/>
                <w:b/>
                <w:bCs/>
                <w:sz w:val="15"/>
                <w:szCs w:val="15"/>
              </w:rPr>
              <w:t>8.切实提升合理用药水平。</w:t>
            </w:r>
            <w:r>
              <w:rPr>
                <w:rFonts w:hint="eastAsia" w:ascii="仿宋" w:hAnsi="仿宋" w:eastAsia="仿宋" w:cs="仿宋"/>
                <w:sz w:val="15"/>
                <w:szCs w:val="15"/>
              </w:rPr>
              <w:t>在全市率先开设药学门诊和门诊义诊专区药学服务，安排临床药师每天坐诊。全年开展药学会诊600余次，同比增加63%；在架病历点评1.27万份，同比增加98%，门诊处方点评2.61万张，同比增加20.3%，药学查房、药学科普、药物基因检测、麻精药品信息化管理等工作力度持续加大，有力提升了临床合理用药水平。</w:t>
            </w:r>
          </w:p>
          <w:p w14:paraId="11AD7722">
            <w:pPr>
              <w:pStyle w:val="7"/>
              <w:widowControl/>
              <w:spacing w:before="0" w:beforeAutospacing="0" w:after="0" w:afterAutospacing="0" w:line="580" w:lineRule="exact"/>
              <w:ind w:firstLine="301" w:firstLineChars="200"/>
              <w:jc w:val="both"/>
              <w:rPr>
                <w:rFonts w:hint="eastAsia" w:ascii="仿宋" w:hAnsi="仿宋" w:eastAsia="仿宋" w:cs="仿宋"/>
                <w:kern w:val="2"/>
                <w:sz w:val="15"/>
                <w:szCs w:val="15"/>
              </w:rPr>
            </w:pPr>
            <w:r>
              <w:rPr>
                <w:rFonts w:hint="eastAsia" w:ascii="仿宋" w:hAnsi="仿宋" w:eastAsia="仿宋" w:cs="仿宋"/>
                <w:b/>
                <w:bCs/>
                <w:sz w:val="15"/>
                <w:szCs w:val="15"/>
              </w:rPr>
              <w:t>9.持续加强院感管理。</w:t>
            </w:r>
            <w:r>
              <w:rPr>
                <w:rFonts w:hint="eastAsia" w:ascii="仿宋" w:hAnsi="仿宋" w:eastAsia="仿宋" w:cs="仿宋"/>
                <w:kern w:val="2"/>
                <w:sz w:val="15"/>
                <w:szCs w:val="15"/>
              </w:rPr>
              <w:t>召开医院感染管理委员会会议、内镜同质化管理专题会议，制定《提高住院患者抗菌药物治疗前病原学送检率工作方案》，开展内镜监测规范采样操作流程专题培训、保洁员院感知识专题培训21批次，培训人数2257人；开展全院院感知识竞赛2轮次；持续提升医院感染防控能力。常态化开展院感督查，发现问题765个，提出整改建议745条，大部分已整改到位；调查手卫生时机1.02万次，手卫生正确率96.41%。成功举办全市医院感染管理质控会议和院感管理专业委员会年会、全市“提高住院患者抗菌药物治疗前病原学送检率”专项培训班、全市院感防控青年演讲大赛和湖南省医院感染管理“两网一会”年会；作为市级质控中心对全市71家医疗机构开展院感专项督查；被评为“湖南省先进院感质量控制中心”“岳阳市优秀医疗质量控制中心”。</w:t>
            </w:r>
          </w:p>
          <w:p w14:paraId="37E474F1">
            <w:pPr>
              <w:autoSpaceDN w:val="0"/>
              <w:spacing w:line="320" w:lineRule="exact"/>
              <w:jc w:val="left"/>
              <w:textAlignment w:val="center"/>
              <w:rPr>
                <w:rFonts w:hint="eastAsia" w:ascii="仿宋_GB2312" w:hAnsi="仿宋_GB2312" w:eastAsia="仿宋_GB2312" w:cs="仿宋_GB2312"/>
                <w:color w:val="000000"/>
                <w:sz w:val="15"/>
                <w:szCs w:val="15"/>
              </w:rPr>
            </w:pPr>
          </w:p>
          <w:p w14:paraId="34F12B6D">
            <w:pPr>
              <w:autoSpaceDN w:val="0"/>
              <w:spacing w:line="320" w:lineRule="exact"/>
              <w:jc w:val="left"/>
              <w:textAlignment w:val="center"/>
              <w:rPr>
                <w:rFonts w:hint="eastAsia" w:ascii="仿宋_GB2312" w:hAnsi="仿宋_GB2312" w:eastAsia="仿宋_GB2312" w:cs="仿宋_GB2312"/>
                <w:color w:val="000000"/>
                <w:szCs w:val="21"/>
              </w:rPr>
            </w:pPr>
          </w:p>
        </w:tc>
      </w:tr>
      <w:tr w14:paraId="5256B2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30" w:hRule="atLeast"/>
          <w:jc w:val="center"/>
        </w:trPr>
        <w:tc>
          <w:tcPr>
            <w:tcW w:w="1740" w:type="dxa"/>
            <w:gridSpan w:val="3"/>
            <w:vMerge w:val="continue"/>
            <w:noWrap w:val="0"/>
            <w:vAlign w:val="center"/>
          </w:tcPr>
          <w:p w14:paraId="52E5327B">
            <w:pPr>
              <w:spacing w:line="320" w:lineRule="exact"/>
              <w:rPr>
                <w:rFonts w:hint="eastAsia" w:ascii="仿宋_GB2312" w:hAnsi="仿宋_GB2312" w:eastAsia="仿宋_GB2312" w:cs="仿宋_GB2312"/>
                <w:sz w:val="24"/>
              </w:rPr>
            </w:pPr>
          </w:p>
        </w:tc>
        <w:tc>
          <w:tcPr>
            <w:tcW w:w="1250" w:type="dxa"/>
            <w:gridSpan w:val="2"/>
            <w:vMerge w:val="continue"/>
            <w:noWrap w:val="0"/>
            <w:vAlign w:val="center"/>
          </w:tcPr>
          <w:p w14:paraId="152512B5">
            <w:pPr>
              <w:autoSpaceDN w:val="0"/>
              <w:spacing w:line="320" w:lineRule="exact"/>
              <w:rPr>
                <w:rFonts w:hint="eastAsia" w:ascii="仿宋_GB2312" w:hAnsi="仿宋_GB2312" w:eastAsia="仿宋_GB2312" w:cs="仿宋_GB2312"/>
                <w:sz w:val="24"/>
              </w:rPr>
            </w:pPr>
          </w:p>
        </w:tc>
        <w:tc>
          <w:tcPr>
            <w:tcW w:w="1417" w:type="dxa"/>
            <w:gridSpan w:val="2"/>
            <w:vMerge w:val="continue"/>
            <w:noWrap w:val="0"/>
            <w:vAlign w:val="center"/>
          </w:tcPr>
          <w:p w14:paraId="4E778077">
            <w:pPr>
              <w:spacing w:line="320" w:lineRule="exact"/>
              <w:rPr>
                <w:rFonts w:hint="eastAsia" w:ascii="仿宋_GB2312" w:hAnsi="仿宋_GB2312" w:eastAsia="仿宋_GB2312" w:cs="仿宋_GB2312"/>
                <w:sz w:val="24"/>
              </w:rPr>
            </w:pPr>
          </w:p>
        </w:tc>
        <w:tc>
          <w:tcPr>
            <w:tcW w:w="2709" w:type="dxa"/>
            <w:gridSpan w:val="4"/>
            <w:noWrap w:val="0"/>
            <w:vAlign w:val="center"/>
          </w:tcPr>
          <w:p w14:paraId="510D3010">
            <w:pPr>
              <w:autoSpaceDN w:val="0"/>
              <w:spacing w:line="320" w:lineRule="exact"/>
              <w:jc w:val="left"/>
              <w:textAlignment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医院管理上台阶</w:t>
            </w:r>
          </w:p>
        </w:tc>
        <w:tc>
          <w:tcPr>
            <w:tcW w:w="2684" w:type="dxa"/>
            <w:gridSpan w:val="6"/>
            <w:noWrap w:val="0"/>
            <w:vAlign w:val="center"/>
          </w:tcPr>
          <w:p w14:paraId="54E48BD9">
            <w:pPr>
              <w:pStyle w:val="5"/>
              <w:spacing w:line="580" w:lineRule="exact"/>
              <w:ind w:firstLine="261" w:firstLineChars="200"/>
              <w:rPr>
                <w:rFonts w:hint="eastAsia" w:ascii="仿宋" w:hAnsi="仿宋" w:eastAsia="仿宋" w:cs="仿宋"/>
                <w:kern w:val="0"/>
                <w:sz w:val="13"/>
                <w:szCs w:val="13"/>
              </w:rPr>
            </w:pPr>
            <w:r>
              <w:rPr>
                <w:rFonts w:hint="eastAsia" w:ascii="仿宋" w:hAnsi="仿宋" w:eastAsia="仿宋" w:cs="仿宋"/>
                <w:b/>
                <w:bCs/>
                <w:kern w:val="0"/>
                <w:sz w:val="13"/>
                <w:szCs w:val="13"/>
              </w:rPr>
              <w:t>1.运营管理提质增效。</w:t>
            </w:r>
            <w:r>
              <w:rPr>
                <w:rFonts w:hint="eastAsia" w:ascii="仿宋" w:hAnsi="仿宋" w:eastAsia="仿宋" w:cs="仿宋"/>
                <w:kern w:val="0"/>
                <w:sz w:val="13"/>
                <w:szCs w:val="13"/>
              </w:rPr>
              <w:t>构建以资源占用为基础的临床科室业务量预算模型，公平、公正、客观的制定每个科室的预算门诊量和预算出院病人量。新增预算执行管理绩效方案，结合DIP改革特点，按照有效CMI值和超额累进绩效，激励医务人员工作积极性。每月开展临床科室运营分析和预算执行绩效政策讲解，针对科室运行过程中发现的问题，及时反馈，做实做细全过程管理。成功举办湘北地区公立医院绩效考核培训班，来自岳阳、常德、益阳近70家医疗机构的负责人参加会议，李伟院长以《实施预算、运营、绩效一体化 抓牢用好国考“指挥棒”》为题分享了医院管理经验，引起强烈反响。</w:t>
            </w:r>
          </w:p>
          <w:p w14:paraId="42F80730">
            <w:pPr>
              <w:pStyle w:val="12"/>
              <w:ind w:firstLine="643"/>
              <w:rPr>
                <w:rFonts w:hint="eastAsia" w:ascii="仿宋" w:hAnsi="仿宋" w:eastAsia="仿宋" w:cs="仿宋"/>
                <w:sz w:val="13"/>
                <w:szCs w:val="13"/>
              </w:rPr>
            </w:pPr>
            <w:r>
              <w:rPr>
                <w:rFonts w:hint="eastAsia" w:ascii="仿宋" w:hAnsi="仿宋" w:eastAsia="仿宋" w:cs="仿宋"/>
                <w:b/>
                <w:bCs/>
                <w:sz w:val="13"/>
                <w:szCs w:val="13"/>
              </w:rPr>
              <w:t>2.人才管理成效显著。</w:t>
            </w:r>
            <w:r>
              <w:rPr>
                <w:rFonts w:hint="eastAsia" w:ascii="仿宋" w:hAnsi="仿宋" w:eastAsia="仿宋" w:cs="仿宋"/>
                <w:sz w:val="13"/>
                <w:szCs w:val="13"/>
              </w:rPr>
              <w:t>进一步拓展人才引育渠道，完善年度考核、人才引进、公开招聘、高级职称自主评审等人事制度，激发人才队伍活力。</w:t>
            </w:r>
            <w:r>
              <w:rPr>
                <w:rFonts w:hint="eastAsia" w:ascii="仿宋" w:hAnsi="仿宋" w:eastAsia="仿宋" w:cs="仿宋"/>
                <w:color w:val="000000"/>
                <w:sz w:val="13"/>
                <w:szCs w:val="13"/>
              </w:rPr>
              <w:t>全年共招聘专业人员72人，其中</w:t>
            </w:r>
            <w:r>
              <w:rPr>
                <w:rFonts w:hint="eastAsia" w:ascii="仿宋" w:hAnsi="仿宋" w:eastAsia="仿宋" w:cs="仿宋"/>
                <w:sz w:val="13"/>
                <w:szCs w:val="13"/>
              </w:rPr>
              <w:t>博士5名（内分泌、骨科、肝胰、肿瘤、乳腺外科）、学科带头人4名（呼吸、心电图、神内、心内）、</w:t>
            </w:r>
            <w:r>
              <w:rPr>
                <w:rFonts w:hint="eastAsia" w:ascii="仿宋" w:hAnsi="仿宋" w:eastAsia="仿宋" w:cs="仿宋"/>
                <w:color w:val="000000"/>
                <w:sz w:val="13"/>
                <w:szCs w:val="13"/>
              </w:rPr>
              <w:t>紧缺型人才1名（精神病与精神卫生学）、硕士33名；</w:t>
            </w:r>
            <w:r>
              <w:rPr>
                <w:rFonts w:hint="eastAsia" w:ascii="仿宋" w:hAnsi="仿宋" w:eastAsia="仿宋" w:cs="仿宋"/>
                <w:sz w:val="13"/>
                <w:szCs w:val="13"/>
              </w:rPr>
              <w:t>2人通过湖南省卫健委国际海外交流学习选拔，分别赴美国</w:t>
            </w:r>
            <w:r>
              <w:rPr>
                <w:rFonts w:hint="eastAsia" w:ascii="仿宋" w:hAnsi="仿宋" w:eastAsia="仿宋" w:cs="仿宋"/>
                <w:color w:val="000000"/>
                <w:sz w:val="13"/>
                <w:szCs w:val="13"/>
              </w:rPr>
              <w:t>南加州大学脊柱中心和加州大学欧文分校泌尿外科学习。选拔任用了19名德才兼备、工作务实、群众认可的中层管理干部；25人通过医院自主评审，晋升高级职称；</w:t>
            </w:r>
            <w:r>
              <w:rPr>
                <w:rFonts w:hint="eastAsia" w:ascii="仿宋" w:hAnsi="仿宋" w:eastAsia="仿宋" w:cs="仿宋"/>
                <w:sz w:val="13"/>
                <w:szCs w:val="13"/>
              </w:rPr>
              <w:t>为医院高质量发展积蓄人才动能。</w:t>
            </w:r>
          </w:p>
          <w:p w14:paraId="5344F09C">
            <w:pPr>
              <w:pStyle w:val="7"/>
              <w:widowControl/>
              <w:spacing w:before="0" w:beforeAutospacing="0" w:after="0" w:afterAutospacing="0" w:line="560" w:lineRule="exact"/>
              <w:ind w:firstLine="261" w:firstLineChars="200"/>
              <w:jc w:val="both"/>
              <w:rPr>
                <w:rFonts w:hint="eastAsia" w:ascii="仿宋" w:hAnsi="仿宋" w:eastAsia="仿宋" w:cs="仿宋"/>
                <w:sz w:val="13"/>
                <w:szCs w:val="13"/>
              </w:rPr>
            </w:pPr>
            <w:r>
              <w:rPr>
                <w:rFonts w:hint="eastAsia" w:ascii="仿宋" w:hAnsi="仿宋" w:eastAsia="仿宋" w:cs="仿宋"/>
                <w:b/>
                <w:bCs/>
                <w:sz w:val="13"/>
                <w:szCs w:val="13"/>
              </w:rPr>
              <w:t>3.成本管理严谨有序。一是加强国有资产管理。</w:t>
            </w:r>
            <w:r>
              <w:rPr>
                <w:rFonts w:hint="eastAsia" w:ascii="仿宋" w:hAnsi="仿宋" w:eastAsia="仿宋" w:cs="仿宋"/>
                <w:sz w:val="13"/>
                <w:szCs w:val="13"/>
              </w:rPr>
              <w:t>对全院资产进行盘点，做到账实相符、家底清晰。对报废物资进行回收</w:t>
            </w:r>
            <w:r>
              <w:rPr>
                <w:rFonts w:hint="eastAsia" w:ascii="仿宋" w:hAnsi="仿宋" w:eastAsia="仿宋" w:cs="仿宋"/>
                <w:color w:val="000000"/>
                <w:sz w:val="13"/>
                <w:szCs w:val="13"/>
              </w:rPr>
              <w:t>再利用80件，再用利率17.5%，节约资金9.2万元。</w:t>
            </w:r>
            <w:r>
              <w:rPr>
                <w:rFonts w:hint="eastAsia" w:ascii="仿宋" w:hAnsi="仿宋" w:eastAsia="仿宋" w:cs="仿宋"/>
                <w:b/>
                <w:bCs/>
                <w:sz w:val="13"/>
                <w:szCs w:val="13"/>
              </w:rPr>
              <w:t>二是加强内部审计。</w:t>
            </w:r>
            <w:r>
              <w:rPr>
                <w:rFonts w:hint="eastAsia" w:ascii="仿宋" w:hAnsi="仿宋" w:eastAsia="仿宋" w:cs="仿宋"/>
                <w:sz w:val="13"/>
                <w:szCs w:val="13"/>
              </w:rPr>
              <w:t>全年审计人员审核付款票据2871份,参与进货洽谈130次、项目洽谈113个、新型医用耗材引进洽谈164次，共审减236.49万元，维护了医院利益。</w:t>
            </w:r>
            <w:r>
              <w:rPr>
                <w:rFonts w:hint="eastAsia" w:ascii="仿宋" w:hAnsi="仿宋" w:eastAsia="仿宋" w:cs="仿宋"/>
                <w:b/>
                <w:bCs/>
                <w:sz w:val="13"/>
                <w:szCs w:val="13"/>
              </w:rPr>
              <w:t>三是创新成本管理模式。</w:t>
            </w:r>
            <w:r>
              <w:rPr>
                <w:rFonts w:hint="eastAsia" w:ascii="仿宋" w:hAnsi="仿宋" w:eastAsia="仿宋" w:cs="仿宋"/>
                <w:sz w:val="13"/>
                <w:szCs w:val="13"/>
              </w:rPr>
              <w:t>为了降低医院低值耗材支出，避免耗材浪费，护理部联合运营部、医学装备部、信息工程部，成立医院护理单元医用低值耗材精益化管理研究项目团队，开展低值耗材精益化管理。运行以来，全院排名前20位的低值耗材同比下降23万余元。</w:t>
            </w:r>
          </w:p>
          <w:p w14:paraId="641F4FDB">
            <w:pPr>
              <w:ind w:firstLine="261" w:firstLineChars="200"/>
              <w:rPr>
                <w:rFonts w:hint="eastAsia" w:ascii="仿宋" w:hAnsi="仿宋" w:eastAsia="仿宋" w:cs="仿宋"/>
                <w:sz w:val="13"/>
                <w:szCs w:val="13"/>
              </w:rPr>
            </w:pPr>
            <w:r>
              <w:rPr>
                <w:rFonts w:hint="eastAsia" w:ascii="仿宋" w:hAnsi="仿宋" w:eastAsia="仿宋" w:cs="仿宋"/>
                <w:b/>
                <w:bCs/>
                <w:sz w:val="13"/>
                <w:szCs w:val="13"/>
              </w:rPr>
              <w:t>4.综治管理形成长效。</w:t>
            </w:r>
            <w:r>
              <w:rPr>
                <w:rFonts w:hint="eastAsia" w:ascii="仿宋" w:hAnsi="仿宋" w:eastAsia="仿宋" w:cs="仿宋"/>
                <w:sz w:val="13"/>
                <w:szCs w:val="13"/>
              </w:rPr>
              <w:t>将门诊大楼地下停车场收回医院管理，进一步优化院内交通。推进“平安医院”建设，全院层层签订消防安全责任状60份，与上级主管部门签订责任状2份，协助市卫健委举办全市医疗机构消防标准化管理现场培训观摩会。开展全院安全大检查27次，举办消防讲座3次，消防设施使用培训演练2次，进一步提高职工消防意识。深入开展“扫黑除恶”专项斗争，</w:t>
            </w:r>
            <w:r>
              <w:rPr>
                <w:rFonts w:hint="eastAsia" w:ascii="仿宋" w:hAnsi="仿宋" w:eastAsia="仿宋" w:cs="仿宋"/>
                <w:kern w:val="0"/>
                <w:sz w:val="13"/>
                <w:szCs w:val="13"/>
              </w:rPr>
              <w:t>发放“扫黑除恶”专项斗争宣传资料4050余份，制作横幅15条</w:t>
            </w:r>
            <w:r>
              <w:rPr>
                <w:rFonts w:hint="eastAsia" w:ascii="仿宋" w:hAnsi="仿宋" w:eastAsia="仿宋" w:cs="仿宋"/>
                <w:sz w:val="13"/>
                <w:szCs w:val="13"/>
              </w:rPr>
              <w:t>；协助辖区派出所开展“无毒社区”建设，制作宣传栏1块，</w:t>
            </w:r>
            <w:r>
              <w:rPr>
                <w:rStyle w:val="13"/>
                <w:rFonts w:hint="eastAsia" w:ascii="仿宋" w:hAnsi="仿宋" w:eastAsia="仿宋" w:cs="仿宋"/>
                <w:sz w:val="13"/>
                <w:szCs w:val="13"/>
              </w:rPr>
              <w:t> </w:t>
            </w:r>
            <w:r>
              <w:rPr>
                <w:rFonts w:hint="eastAsia" w:ascii="仿宋" w:hAnsi="仿宋" w:eastAsia="仿宋" w:cs="仿宋"/>
                <w:sz w:val="13"/>
                <w:szCs w:val="13"/>
              </w:rPr>
              <w:t>营造浓厚的医院安全文化。</w:t>
            </w:r>
          </w:p>
          <w:p w14:paraId="2B216AC3">
            <w:pPr>
              <w:ind w:firstLine="261" w:firstLineChars="200"/>
              <w:rPr>
                <w:rFonts w:hint="eastAsia" w:ascii="仿宋" w:hAnsi="仿宋" w:eastAsia="仿宋" w:cs="仿宋"/>
                <w:kern w:val="0"/>
                <w:sz w:val="13"/>
                <w:szCs w:val="13"/>
              </w:rPr>
            </w:pPr>
            <w:r>
              <w:rPr>
                <w:rFonts w:hint="eastAsia" w:ascii="仿宋" w:hAnsi="仿宋" w:eastAsia="仿宋" w:cs="仿宋"/>
                <w:b/>
                <w:bCs/>
                <w:kern w:val="0"/>
                <w:sz w:val="13"/>
                <w:szCs w:val="13"/>
                <w:lang w:val="en-US" w:eastAsia="zh-CN"/>
              </w:rPr>
              <w:t>5</w:t>
            </w:r>
            <w:r>
              <w:rPr>
                <w:rFonts w:hint="eastAsia" w:ascii="仿宋" w:hAnsi="仿宋" w:eastAsia="仿宋" w:cs="仿宋"/>
                <w:b/>
                <w:bCs/>
                <w:kern w:val="0"/>
                <w:sz w:val="13"/>
                <w:szCs w:val="13"/>
              </w:rPr>
              <w:t>.严格控制医药费用。</w:t>
            </w:r>
            <w:r>
              <w:rPr>
                <w:rFonts w:hint="eastAsia" w:ascii="仿宋" w:hAnsi="仿宋" w:eastAsia="仿宋" w:cs="仿宋"/>
                <w:sz w:val="13"/>
                <w:szCs w:val="13"/>
              </w:rPr>
              <w:t>将SPD系统纳入至医院信息系统监管理平台和医院安全监管体系，强化监管。按照国家医保总局要求，对关节、脊柱、支架类重点耗材进行重点监控，对2021至2023年重点耗材进行数据摸底和核查，并上报国家集采回头看平台进行解析。</w:t>
            </w:r>
            <w:r>
              <w:rPr>
                <w:rFonts w:hint="eastAsia" w:ascii="仿宋" w:hAnsi="仿宋" w:eastAsia="仿宋" w:cs="仿宋"/>
                <w:kern w:val="0"/>
                <w:sz w:val="13"/>
                <w:szCs w:val="13"/>
              </w:rPr>
              <w:t>贯彻落实国家和省市药品耗材集采政策，采取低价替代高价、动态监控等措施，严控药品耗材支出。在业务量增长的同时，全院药占比21%，同比下降1.3%，药品销售总额同比减少600万元；出院患者的次均药费为2151元，下降10.45%门诊患者的次均药费为124.5元，下降9.32%，基药使用金额占比增加8.23%，抗菌药物强度下降2.3%。耗材管理继续实行“降价一批，替换一批，带量一批，替换一批”动态监管，放射类、低值类、试剂类耗材总量同比下降447.60万元，其中放射类耗材降幅达59.62%，切实减轻了患者就医负担。</w:t>
            </w:r>
          </w:p>
          <w:p w14:paraId="135BF3A6">
            <w:pPr>
              <w:ind w:firstLine="261" w:firstLineChars="200"/>
              <w:rPr>
                <w:rFonts w:hint="eastAsia" w:ascii="仿宋" w:hAnsi="仿宋" w:eastAsia="仿宋" w:cs="仿宋"/>
                <w:sz w:val="13"/>
                <w:szCs w:val="13"/>
              </w:rPr>
            </w:pPr>
            <w:r>
              <w:rPr>
                <w:rFonts w:hint="eastAsia" w:ascii="仿宋" w:hAnsi="仿宋" w:eastAsia="仿宋" w:cs="仿宋"/>
                <w:b/>
                <w:bCs/>
                <w:kern w:val="0"/>
                <w:sz w:val="13"/>
                <w:szCs w:val="13"/>
                <w:lang w:val="en-US" w:eastAsia="zh-CN"/>
              </w:rPr>
              <w:t>6</w:t>
            </w:r>
            <w:r>
              <w:rPr>
                <w:rFonts w:hint="eastAsia" w:ascii="仿宋" w:hAnsi="仿宋" w:eastAsia="仿宋" w:cs="仿宋"/>
                <w:b/>
                <w:bCs/>
                <w:kern w:val="0"/>
                <w:sz w:val="13"/>
                <w:szCs w:val="13"/>
              </w:rPr>
              <w:t>.积极深化医联体建设。</w:t>
            </w:r>
            <w:r>
              <w:rPr>
                <w:rFonts w:hint="eastAsia" w:ascii="仿宋" w:hAnsi="仿宋" w:eastAsia="仿宋" w:cs="仿宋"/>
                <w:sz w:val="13"/>
                <w:szCs w:val="13"/>
              </w:rPr>
              <w:t>全年新增签约医联体单位12家，与各医联体之间联络100余次，深化业务交流。接收基层医院检验检查1000余人次，实现双向转诊3900余人次。向16家基层医疗机构派驻20位专家进行技术帮扶。派出25名专科医生全脱产支援岳阳县、屈原区等9家基层医院。选派一名专家对口帮扶保靖县人民医院创建卒中中心。帮助基层医院提升技术水平。同时，积极开展“卫生进基层”活动。在郭亮社区、郭镇乡敬老院、临湘海事处码头等地，开展大型爱民义诊活动20次；在弘毅中学、东城小学、洞氮社区等地开展健康知识讲座15次；让基层老百姓在家门口享受高质量医疗服务。</w:t>
            </w:r>
          </w:p>
          <w:p w14:paraId="12E82B36">
            <w:pPr>
              <w:spacing w:line="360" w:lineRule="auto"/>
              <w:ind w:firstLine="261" w:firstLineChars="200"/>
              <w:rPr>
                <w:rFonts w:hint="eastAsia" w:ascii="仿宋" w:hAnsi="仿宋" w:eastAsia="仿宋" w:cs="仿宋"/>
                <w:sz w:val="13"/>
                <w:szCs w:val="13"/>
              </w:rPr>
            </w:pPr>
            <w:r>
              <w:rPr>
                <w:rFonts w:hint="eastAsia" w:ascii="仿宋" w:hAnsi="仿宋" w:eastAsia="仿宋" w:cs="仿宋"/>
                <w:b/>
                <w:bCs/>
                <w:kern w:val="0"/>
                <w:sz w:val="13"/>
                <w:szCs w:val="13"/>
                <w:lang w:val="en-US" w:eastAsia="zh-CN"/>
              </w:rPr>
              <w:t>7</w:t>
            </w:r>
            <w:r>
              <w:rPr>
                <w:rFonts w:hint="eastAsia" w:ascii="仿宋" w:hAnsi="仿宋" w:eastAsia="仿宋" w:cs="仿宋"/>
                <w:b/>
                <w:bCs/>
                <w:kern w:val="0"/>
                <w:sz w:val="13"/>
                <w:szCs w:val="13"/>
              </w:rPr>
              <w:t>.不断延伸服务半径。互联网医院服务到家。</w:t>
            </w:r>
            <w:r>
              <w:rPr>
                <w:rFonts w:hint="eastAsia" w:ascii="仿宋" w:hAnsi="仿宋" w:eastAsia="仿宋" w:cs="仿宋"/>
                <w:sz w:val="13"/>
                <w:szCs w:val="13"/>
              </w:rPr>
              <w:t>互联网医院围绕线上咨询、问诊开方、线上交费、线上购药和送药到家等开展服务。共有34个科室230名医生服务上线。</w:t>
            </w:r>
            <w:r>
              <w:rPr>
                <w:rFonts w:hint="eastAsia" w:ascii="仿宋" w:hAnsi="仿宋" w:eastAsia="仿宋" w:cs="仿宋"/>
                <w:color w:val="000000"/>
                <w:sz w:val="13"/>
                <w:szCs w:val="13"/>
                <w:shd w:val="clear" w:color="auto" w:fill="FFFFFF"/>
              </w:rPr>
              <w:t>增加互联网+护理平台护士人数至84人，开展互联网+护理服务100例，</w:t>
            </w:r>
            <w:r>
              <w:rPr>
                <w:rFonts w:hint="eastAsia" w:ascii="仿宋" w:hAnsi="仿宋" w:eastAsia="仿宋" w:cs="仿宋"/>
                <w:sz w:val="13"/>
                <w:szCs w:val="13"/>
                <w:shd w:val="clear" w:color="auto" w:fill="FFFFFF"/>
              </w:rPr>
              <w:t>受到群众欢迎与好评。</w:t>
            </w:r>
            <w:r>
              <w:rPr>
                <w:rFonts w:hint="eastAsia" w:ascii="仿宋" w:hAnsi="仿宋" w:eastAsia="仿宋" w:cs="仿宋"/>
                <w:b/>
                <w:bCs/>
                <w:sz w:val="13"/>
                <w:szCs w:val="13"/>
              </w:rPr>
              <w:t>医疗“云平台”稳步推进。</w:t>
            </w:r>
            <w:r>
              <w:rPr>
                <w:rFonts w:hint="eastAsia" w:ascii="仿宋" w:hAnsi="仿宋" w:eastAsia="仿宋" w:cs="仿宋"/>
                <w:sz w:val="13"/>
                <w:szCs w:val="13"/>
              </w:rPr>
              <w:t>完成云影像平台建设，实行云胶片服务，全年胶片打印率下降至10%以内。云心电试运行覆盖广兴洲、公田、黄沙街等9个医联体，实现实时动态心电监测、心电远程诊断、数据调阅、报告查询等，完成诊断46例。</w:t>
            </w:r>
            <w:r>
              <w:rPr>
                <w:rFonts w:hint="eastAsia" w:ascii="仿宋" w:hAnsi="仿宋" w:eastAsia="仿宋" w:cs="仿宋"/>
                <w:b/>
                <w:bCs/>
                <w:sz w:val="13"/>
                <w:szCs w:val="13"/>
                <w:shd w:val="clear" w:color="auto" w:fill="FFFFFF"/>
              </w:rPr>
              <w:t>慢病管理全面铺开。</w:t>
            </w:r>
            <w:r>
              <w:rPr>
                <w:rFonts w:hint="eastAsia" w:ascii="仿宋" w:hAnsi="仿宋" w:eastAsia="仿宋" w:cs="仿宋"/>
                <w:sz w:val="13"/>
                <w:szCs w:val="13"/>
              </w:rPr>
              <w:t>设置恶性肿瘤、高血压、骨质疏松、糖尿病等慢病早筛门诊，并关口前移至五里牌、金凤桥等社区，开展慢病全病程全方位管理。认真开展城市五癌筛查和肿瘤登记工作，被省卫健委评为2023年度优秀筛查单位。以全国肿瘤防治宣传周为契机，组织开展义诊、宣教、患教会等8项活动，提升群众预防保健意识。</w:t>
            </w:r>
          </w:p>
          <w:p w14:paraId="29529386">
            <w:pPr>
              <w:pStyle w:val="5"/>
              <w:spacing w:line="580" w:lineRule="exact"/>
              <w:ind w:firstLine="261" w:firstLineChars="200"/>
              <w:rPr>
                <w:rFonts w:hint="eastAsia" w:ascii="仿宋" w:hAnsi="仿宋" w:eastAsia="仿宋" w:cs="仿宋"/>
                <w:sz w:val="13"/>
                <w:szCs w:val="13"/>
              </w:rPr>
            </w:pPr>
            <w:r>
              <w:rPr>
                <w:rFonts w:hint="eastAsia" w:ascii="仿宋" w:hAnsi="仿宋" w:eastAsia="仿宋" w:cs="仿宋"/>
                <w:b/>
                <w:bCs/>
                <w:kern w:val="0"/>
                <w:sz w:val="13"/>
                <w:szCs w:val="13"/>
                <w:lang w:val="en-US" w:eastAsia="zh-CN"/>
              </w:rPr>
              <w:t>8</w:t>
            </w:r>
            <w:r>
              <w:rPr>
                <w:rFonts w:hint="eastAsia" w:ascii="仿宋" w:hAnsi="仿宋" w:eastAsia="仿宋" w:cs="仿宋"/>
                <w:b/>
                <w:bCs/>
                <w:kern w:val="0"/>
                <w:sz w:val="13"/>
                <w:szCs w:val="13"/>
              </w:rPr>
              <w:t>.医保管理持续加强。</w:t>
            </w:r>
            <w:r>
              <w:rPr>
                <w:rFonts w:hint="eastAsia" w:ascii="仿宋" w:hAnsi="仿宋" w:eastAsia="仿宋" w:cs="仿宋"/>
                <w:sz w:val="13"/>
                <w:szCs w:val="13"/>
              </w:rPr>
              <w:t>邀请市医保局赖优良主任来院宣讲医保政策，让医务人员充分了解药品、耗材医保限制。开展医保MDT稽核检查12次，</w:t>
            </w:r>
            <w:r>
              <w:rPr>
                <w:rFonts w:hint="eastAsia" w:ascii="仿宋" w:hAnsi="仿宋" w:eastAsia="仿宋" w:cs="仿宋"/>
                <w:bCs/>
                <w:sz w:val="13"/>
                <w:szCs w:val="13"/>
              </w:rPr>
              <w:t>DIP工作专班定期分析相关数据，及时发现并解决问题，</w:t>
            </w:r>
            <w:r>
              <w:rPr>
                <w:rFonts w:hint="eastAsia" w:ascii="仿宋" w:hAnsi="仿宋" w:eastAsia="仿宋" w:cs="仿宋"/>
                <w:sz w:val="13"/>
                <w:szCs w:val="13"/>
              </w:rPr>
              <w:t>借助中公网实现对临床医疗行为规范化管理。</w:t>
            </w:r>
            <w:r>
              <w:rPr>
                <w:rFonts w:hint="eastAsia" w:ascii="仿宋" w:hAnsi="仿宋" w:eastAsia="仿宋" w:cs="仿宋"/>
                <w:bCs/>
                <w:sz w:val="13"/>
                <w:szCs w:val="13"/>
              </w:rPr>
              <w:t>较好完成</w:t>
            </w:r>
            <w:r>
              <w:rPr>
                <w:rFonts w:hint="eastAsia" w:ascii="仿宋" w:hAnsi="仿宋" w:eastAsia="仿宋" w:cs="仿宋"/>
                <w:sz w:val="13"/>
                <w:szCs w:val="13"/>
              </w:rPr>
              <w:t>DIP付费首年度（2023年）清算工作。合理调整物价，重点提高手术、治疗、康复、药学、病理和精神科等体现技术劳务价值的服务项目价格，优化医疗费用结构。对284个医疗服务项目价格均及时调整到位，特别是PET/CT等大型检查项目大幅降价，让利于民。新增湖南省“双通道”责任医生9名，使全院“双通道”责任医生达到71名，涵盖双通道药品涉及的全部专业；在医保咨询窗口前置一站式服务台、在临床科室开展“医保登记”，将医保服务前移，为患者提供方便。</w:t>
            </w:r>
          </w:p>
          <w:p w14:paraId="262CC417">
            <w:pPr>
              <w:spacing w:line="560" w:lineRule="exact"/>
              <w:ind w:firstLine="640"/>
              <w:rPr>
                <w:rFonts w:hint="eastAsia" w:ascii="仿宋_GB2312" w:hAnsi="仿宋" w:eastAsia="仿宋_GB2312" w:cs="仿宋"/>
                <w:color w:val="000000"/>
                <w:szCs w:val="21"/>
              </w:rPr>
            </w:pPr>
          </w:p>
          <w:p w14:paraId="6DAC70BD">
            <w:pPr>
              <w:autoSpaceDN w:val="0"/>
              <w:spacing w:line="320" w:lineRule="exact"/>
              <w:jc w:val="left"/>
              <w:textAlignment w:val="center"/>
              <w:rPr>
                <w:rFonts w:hint="eastAsia" w:ascii="仿宋_GB2312" w:hAnsi="仿宋_GB2312" w:eastAsia="仿宋_GB2312" w:cs="仿宋_GB2312"/>
                <w:color w:val="000000"/>
                <w:szCs w:val="21"/>
              </w:rPr>
            </w:pPr>
          </w:p>
          <w:p w14:paraId="54152BB8">
            <w:pPr>
              <w:autoSpaceDN w:val="0"/>
              <w:spacing w:line="320" w:lineRule="exact"/>
              <w:jc w:val="left"/>
              <w:textAlignment w:val="center"/>
              <w:rPr>
                <w:rFonts w:hint="eastAsia" w:ascii="仿宋_GB2312" w:hAnsi="仿宋_GB2312" w:eastAsia="仿宋_GB2312" w:cs="仿宋_GB2312"/>
                <w:color w:val="000000"/>
                <w:szCs w:val="21"/>
              </w:rPr>
            </w:pPr>
          </w:p>
        </w:tc>
      </w:tr>
      <w:tr w14:paraId="178C26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740" w:type="dxa"/>
            <w:gridSpan w:val="3"/>
            <w:vMerge w:val="continue"/>
            <w:noWrap w:val="0"/>
            <w:vAlign w:val="center"/>
          </w:tcPr>
          <w:p w14:paraId="4465944C">
            <w:pPr>
              <w:spacing w:line="320" w:lineRule="exact"/>
              <w:rPr>
                <w:rFonts w:hint="eastAsia" w:ascii="仿宋_GB2312" w:hAnsi="仿宋_GB2312" w:eastAsia="仿宋_GB2312" w:cs="仿宋_GB2312"/>
                <w:sz w:val="24"/>
              </w:rPr>
            </w:pPr>
          </w:p>
        </w:tc>
        <w:tc>
          <w:tcPr>
            <w:tcW w:w="1250" w:type="dxa"/>
            <w:gridSpan w:val="2"/>
            <w:vMerge w:val="continue"/>
            <w:noWrap w:val="0"/>
            <w:vAlign w:val="center"/>
          </w:tcPr>
          <w:p w14:paraId="7CD0B7E4">
            <w:pPr>
              <w:autoSpaceDN w:val="0"/>
              <w:spacing w:line="320" w:lineRule="exact"/>
              <w:rPr>
                <w:rFonts w:hint="eastAsia" w:ascii="仿宋_GB2312" w:hAnsi="仿宋_GB2312" w:eastAsia="仿宋_GB2312" w:cs="仿宋_GB2312"/>
                <w:sz w:val="24"/>
              </w:rPr>
            </w:pPr>
          </w:p>
        </w:tc>
        <w:tc>
          <w:tcPr>
            <w:tcW w:w="1417" w:type="dxa"/>
            <w:gridSpan w:val="2"/>
            <w:vMerge w:val="restart"/>
            <w:noWrap w:val="0"/>
            <w:vAlign w:val="center"/>
          </w:tcPr>
          <w:p w14:paraId="3B74A04B">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数量指标</w:t>
            </w:r>
          </w:p>
        </w:tc>
        <w:tc>
          <w:tcPr>
            <w:tcW w:w="2709" w:type="dxa"/>
            <w:gridSpan w:val="4"/>
            <w:noWrap w:val="0"/>
            <w:vAlign w:val="center"/>
          </w:tcPr>
          <w:p w14:paraId="44B6C10F">
            <w:pPr>
              <w:autoSpaceDN w:val="0"/>
              <w:spacing w:line="320" w:lineRule="exact"/>
              <w:jc w:val="left"/>
              <w:textAlignment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门、急诊人次</w:t>
            </w:r>
            <w:r>
              <w:rPr>
                <w:rFonts w:hint="eastAsia" w:ascii="仿宋_GB2312" w:hAnsi="仿宋_GB2312" w:eastAsia="仿宋_GB2312" w:cs="仿宋_GB2312"/>
                <w:color w:val="000000"/>
                <w:szCs w:val="21"/>
                <w:lang w:val="en-US" w:eastAsia="zh-CN"/>
              </w:rPr>
              <w:t>70.00</w:t>
            </w:r>
            <w:r>
              <w:rPr>
                <w:rFonts w:hint="eastAsia" w:ascii="仿宋_GB2312" w:hAnsi="仿宋_GB2312" w:eastAsia="仿宋_GB2312" w:cs="仿宋_GB2312"/>
                <w:color w:val="000000"/>
                <w:szCs w:val="21"/>
              </w:rPr>
              <w:t>万人次</w:t>
            </w:r>
          </w:p>
        </w:tc>
        <w:tc>
          <w:tcPr>
            <w:tcW w:w="2684" w:type="dxa"/>
            <w:gridSpan w:val="6"/>
            <w:noWrap w:val="0"/>
            <w:vAlign w:val="center"/>
          </w:tcPr>
          <w:p w14:paraId="44A0390B">
            <w:pPr>
              <w:autoSpaceDN w:val="0"/>
              <w:spacing w:line="320" w:lineRule="exact"/>
              <w:jc w:val="left"/>
              <w:textAlignment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门、急诊人次</w:t>
            </w:r>
            <w:r>
              <w:rPr>
                <w:rFonts w:hint="eastAsia" w:ascii="仿宋_GB2312" w:hAnsi="仿宋_GB2312" w:eastAsia="仿宋_GB2312" w:cs="仿宋_GB2312"/>
                <w:color w:val="000000"/>
                <w:szCs w:val="21"/>
                <w:lang w:val="en-US" w:eastAsia="zh-CN"/>
              </w:rPr>
              <w:t>69.3</w:t>
            </w:r>
            <w:r>
              <w:rPr>
                <w:rFonts w:hint="eastAsia" w:ascii="仿宋_GB2312" w:hAnsi="仿宋_GB2312" w:eastAsia="仿宋_GB2312" w:cs="仿宋_GB2312"/>
                <w:color w:val="000000"/>
                <w:szCs w:val="21"/>
              </w:rPr>
              <w:t>万人次</w:t>
            </w:r>
          </w:p>
        </w:tc>
      </w:tr>
      <w:tr w14:paraId="569371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40" w:type="dxa"/>
            <w:gridSpan w:val="3"/>
            <w:vMerge w:val="continue"/>
            <w:noWrap w:val="0"/>
            <w:vAlign w:val="center"/>
          </w:tcPr>
          <w:p w14:paraId="357C88FA">
            <w:pPr>
              <w:spacing w:line="320" w:lineRule="exact"/>
              <w:rPr>
                <w:rFonts w:hint="eastAsia" w:ascii="仿宋_GB2312" w:hAnsi="仿宋_GB2312" w:eastAsia="仿宋_GB2312" w:cs="仿宋_GB2312"/>
                <w:sz w:val="24"/>
              </w:rPr>
            </w:pPr>
          </w:p>
        </w:tc>
        <w:tc>
          <w:tcPr>
            <w:tcW w:w="1250" w:type="dxa"/>
            <w:gridSpan w:val="2"/>
            <w:vMerge w:val="continue"/>
            <w:noWrap w:val="0"/>
            <w:vAlign w:val="center"/>
          </w:tcPr>
          <w:p w14:paraId="31FC4E2E">
            <w:pPr>
              <w:autoSpaceDN w:val="0"/>
              <w:spacing w:line="320" w:lineRule="exact"/>
              <w:rPr>
                <w:rFonts w:hint="eastAsia" w:ascii="仿宋_GB2312" w:hAnsi="仿宋_GB2312" w:eastAsia="仿宋_GB2312" w:cs="仿宋_GB2312"/>
                <w:sz w:val="24"/>
              </w:rPr>
            </w:pPr>
          </w:p>
        </w:tc>
        <w:tc>
          <w:tcPr>
            <w:tcW w:w="1417" w:type="dxa"/>
            <w:gridSpan w:val="2"/>
            <w:vMerge w:val="continue"/>
            <w:noWrap w:val="0"/>
            <w:vAlign w:val="center"/>
          </w:tcPr>
          <w:p w14:paraId="6B400EFD">
            <w:pPr>
              <w:autoSpaceDN w:val="0"/>
              <w:spacing w:line="320" w:lineRule="exact"/>
              <w:jc w:val="center"/>
              <w:textAlignment w:val="center"/>
              <w:rPr>
                <w:rFonts w:hint="eastAsia" w:ascii="仿宋_GB2312" w:hAnsi="仿宋_GB2312" w:eastAsia="仿宋_GB2312" w:cs="仿宋_GB2312"/>
                <w:sz w:val="24"/>
              </w:rPr>
            </w:pPr>
          </w:p>
        </w:tc>
        <w:tc>
          <w:tcPr>
            <w:tcW w:w="2709" w:type="dxa"/>
            <w:gridSpan w:val="4"/>
            <w:noWrap w:val="0"/>
            <w:vAlign w:val="center"/>
          </w:tcPr>
          <w:p w14:paraId="1D6E0B32">
            <w:pPr>
              <w:autoSpaceDN w:val="0"/>
              <w:spacing w:line="320" w:lineRule="exact"/>
              <w:jc w:val="left"/>
              <w:textAlignment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出院人次</w:t>
            </w:r>
            <w:r>
              <w:rPr>
                <w:rFonts w:hint="eastAsia" w:ascii="仿宋_GB2312" w:hAnsi="仿宋_GB2312" w:eastAsia="仿宋_GB2312" w:cs="仿宋_GB2312"/>
                <w:color w:val="000000"/>
                <w:szCs w:val="21"/>
                <w:lang w:val="en-US" w:eastAsia="zh-CN"/>
              </w:rPr>
              <w:t>6.9</w:t>
            </w:r>
            <w:r>
              <w:rPr>
                <w:rFonts w:hint="eastAsia" w:ascii="仿宋_GB2312" w:hAnsi="仿宋_GB2312" w:eastAsia="仿宋_GB2312" w:cs="仿宋_GB2312"/>
                <w:color w:val="000000"/>
                <w:szCs w:val="21"/>
              </w:rPr>
              <w:t>万人次</w:t>
            </w:r>
          </w:p>
        </w:tc>
        <w:tc>
          <w:tcPr>
            <w:tcW w:w="2684" w:type="dxa"/>
            <w:gridSpan w:val="6"/>
            <w:noWrap w:val="0"/>
            <w:vAlign w:val="center"/>
          </w:tcPr>
          <w:p w14:paraId="4C9770DC">
            <w:pPr>
              <w:autoSpaceDN w:val="0"/>
              <w:spacing w:line="320" w:lineRule="exact"/>
              <w:jc w:val="left"/>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rPr>
              <w:t>出院人次</w:t>
            </w:r>
            <w:r>
              <w:rPr>
                <w:rFonts w:hint="eastAsia" w:ascii="仿宋_GB2312" w:hAnsi="仿宋_GB2312" w:eastAsia="仿宋_GB2312" w:cs="仿宋_GB2312"/>
                <w:color w:val="000000"/>
                <w:szCs w:val="21"/>
                <w:lang w:val="en-US" w:eastAsia="zh-CN"/>
              </w:rPr>
              <w:t>6.81</w:t>
            </w:r>
            <w:r>
              <w:rPr>
                <w:rFonts w:hint="eastAsia" w:ascii="仿宋_GB2312" w:hAnsi="仿宋_GB2312" w:eastAsia="仿宋_GB2312" w:cs="仿宋_GB2312"/>
                <w:color w:val="000000"/>
                <w:szCs w:val="21"/>
              </w:rPr>
              <w:t>万</w:t>
            </w:r>
          </w:p>
        </w:tc>
      </w:tr>
      <w:tr w14:paraId="290FD0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61" w:hRule="atLeast"/>
          <w:jc w:val="center"/>
        </w:trPr>
        <w:tc>
          <w:tcPr>
            <w:tcW w:w="1740" w:type="dxa"/>
            <w:gridSpan w:val="3"/>
            <w:vMerge w:val="continue"/>
            <w:noWrap w:val="0"/>
            <w:vAlign w:val="center"/>
          </w:tcPr>
          <w:p w14:paraId="04FBCD20">
            <w:pPr>
              <w:spacing w:line="320" w:lineRule="exact"/>
              <w:rPr>
                <w:rFonts w:hint="eastAsia" w:ascii="仿宋_GB2312" w:hAnsi="仿宋_GB2312" w:eastAsia="仿宋_GB2312" w:cs="仿宋_GB2312"/>
                <w:sz w:val="24"/>
              </w:rPr>
            </w:pPr>
          </w:p>
        </w:tc>
        <w:tc>
          <w:tcPr>
            <w:tcW w:w="1250" w:type="dxa"/>
            <w:gridSpan w:val="2"/>
            <w:vMerge w:val="continue"/>
            <w:noWrap w:val="0"/>
            <w:vAlign w:val="center"/>
          </w:tcPr>
          <w:p w14:paraId="288628DF">
            <w:pPr>
              <w:autoSpaceDN w:val="0"/>
              <w:spacing w:line="320" w:lineRule="exact"/>
              <w:rPr>
                <w:rFonts w:hint="eastAsia" w:ascii="仿宋_GB2312" w:hAnsi="仿宋_GB2312" w:eastAsia="仿宋_GB2312" w:cs="仿宋_GB2312"/>
                <w:sz w:val="24"/>
              </w:rPr>
            </w:pPr>
          </w:p>
        </w:tc>
        <w:tc>
          <w:tcPr>
            <w:tcW w:w="1417" w:type="dxa"/>
            <w:gridSpan w:val="2"/>
            <w:vMerge w:val="continue"/>
            <w:noWrap w:val="0"/>
            <w:vAlign w:val="center"/>
          </w:tcPr>
          <w:p w14:paraId="59EEAB3E">
            <w:pPr>
              <w:autoSpaceDN w:val="0"/>
              <w:spacing w:line="320" w:lineRule="exact"/>
              <w:jc w:val="center"/>
              <w:textAlignment w:val="center"/>
              <w:rPr>
                <w:rFonts w:hint="eastAsia" w:ascii="仿宋_GB2312" w:hAnsi="仿宋_GB2312" w:eastAsia="仿宋_GB2312" w:cs="仿宋_GB2312"/>
                <w:sz w:val="24"/>
              </w:rPr>
            </w:pPr>
          </w:p>
        </w:tc>
        <w:tc>
          <w:tcPr>
            <w:tcW w:w="2709" w:type="dxa"/>
            <w:gridSpan w:val="4"/>
            <w:noWrap w:val="0"/>
            <w:vAlign w:val="center"/>
          </w:tcPr>
          <w:p w14:paraId="2033E782">
            <w:pPr>
              <w:autoSpaceDN w:val="0"/>
              <w:spacing w:line="320" w:lineRule="exact"/>
              <w:jc w:val="left"/>
              <w:textAlignment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手术台次</w:t>
            </w:r>
            <w:r>
              <w:rPr>
                <w:rFonts w:hint="eastAsia" w:ascii="仿宋_GB2312" w:hAnsi="仿宋_GB2312" w:eastAsia="仿宋_GB2312" w:cs="仿宋_GB2312"/>
                <w:color w:val="000000"/>
                <w:szCs w:val="21"/>
                <w:lang w:val="en-US" w:eastAsia="zh-CN"/>
              </w:rPr>
              <w:t>1.80</w:t>
            </w:r>
            <w:r>
              <w:rPr>
                <w:rFonts w:hint="eastAsia" w:ascii="仿宋_GB2312" w:hAnsi="仿宋_GB2312" w:eastAsia="仿宋_GB2312" w:cs="仿宋_GB2312"/>
                <w:color w:val="000000"/>
                <w:szCs w:val="21"/>
              </w:rPr>
              <w:t>万台</w:t>
            </w:r>
          </w:p>
        </w:tc>
        <w:tc>
          <w:tcPr>
            <w:tcW w:w="2684" w:type="dxa"/>
            <w:gridSpan w:val="6"/>
            <w:noWrap w:val="0"/>
            <w:vAlign w:val="center"/>
          </w:tcPr>
          <w:p w14:paraId="560A1D76">
            <w:pPr>
              <w:autoSpaceDN w:val="0"/>
              <w:spacing w:line="320" w:lineRule="exact"/>
              <w:jc w:val="left"/>
              <w:textAlignment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手术台次</w:t>
            </w:r>
            <w:r>
              <w:rPr>
                <w:rFonts w:hint="eastAsia" w:ascii="仿宋_GB2312" w:hAnsi="仿宋_GB2312" w:eastAsia="仿宋_GB2312" w:cs="仿宋_GB2312"/>
                <w:color w:val="000000"/>
                <w:szCs w:val="21"/>
                <w:lang w:val="en-US" w:eastAsia="zh-CN"/>
              </w:rPr>
              <w:t>1.92</w:t>
            </w:r>
            <w:r>
              <w:rPr>
                <w:rFonts w:hint="eastAsia" w:ascii="仿宋_GB2312" w:hAnsi="仿宋_GB2312" w:eastAsia="仿宋_GB2312" w:cs="仿宋_GB2312"/>
                <w:color w:val="000000"/>
                <w:szCs w:val="21"/>
              </w:rPr>
              <w:t>万台次</w:t>
            </w:r>
          </w:p>
        </w:tc>
      </w:tr>
      <w:tr w14:paraId="3C782D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740" w:type="dxa"/>
            <w:gridSpan w:val="3"/>
            <w:vMerge w:val="continue"/>
            <w:noWrap w:val="0"/>
            <w:vAlign w:val="center"/>
          </w:tcPr>
          <w:p w14:paraId="118F2EED">
            <w:pPr>
              <w:spacing w:line="320" w:lineRule="exact"/>
              <w:rPr>
                <w:rFonts w:hint="eastAsia" w:ascii="仿宋_GB2312" w:hAnsi="仿宋_GB2312" w:eastAsia="仿宋_GB2312" w:cs="仿宋_GB2312"/>
                <w:sz w:val="24"/>
              </w:rPr>
            </w:pPr>
          </w:p>
        </w:tc>
        <w:tc>
          <w:tcPr>
            <w:tcW w:w="1250" w:type="dxa"/>
            <w:gridSpan w:val="2"/>
            <w:vMerge w:val="continue"/>
            <w:noWrap w:val="0"/>
            <w:vAlign w:val="center"/>
          </w:tcPr>
          <w:p w14:paraId="7112F422">
            <w:pPr>
              <w:autoSpaceDN w:val="0"/>
              <w:spacing w:line="320" w:lineRule="exact"/>
              <w:rPr>
                <w:rFonts w:hint="eastAsia" w:ascii="仿宋_GB2312" w:hAnsi="仿宋_GB2312" w:eastAsia="仿宋_GB2312" w:cs="仿宋_GB2312"/>
                <w:sz w:val="24"/>
              </w:rPr>
            </w:pPr>
          </w:p>
        </w:tc>
        <w:tc>
          <w:tcPr>
            <w:tcW w:w="1417" w:type="dxa"/>
            <w:gridSpan w:val="2"/>
            <w:noWrap w:val="0"/>
            <w:vAlign w:val="center"/>
          </w:tcPr>
          <w:p w14:paraId="45BE9366">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时效指标</w:t>
            </w:r>
          </w:p>
        </w:tc>
        <w:tc>
          <w:tcPr>
            <w:tcW w:w="2709" w:type="dxa"/>
            <w:gridSpan w:val="4"/>
            <w:noWrap w:val="0"/>
            <w:vAlign w:val="center"/>
          </w:tcPr>
          <w:p w14:paraId="23536854">
            <w:pPr>
              <w:autoSpaceDN w:val="0"/>
              <w:spacing w:line="320" w:lineRule="exact"/>
              <w:jc w:val="left"/>
              <w:textAlignment w:val="center"/>
              <w:rPr>
                <w:rFonts w:hint="eastAsia" w:ascii="仿宋_GB2312" w:hAnsi="仿宋_GB2312" w:eastAsia="仿宋_GB2312" w:cs="仿宋_GB2312"/>
                <w:color w:val="000000"/>
                <w:szCs w:val="21"/>
              </w:rPr>
            </w:pPr>
          </w:p>
        </w:tc>
        <w:tc>
          <w:tcPr>
            <w:tcW w:w="2684" w:type="dxa"/>
            <w:gridSpan w:val="6"/>
            <w:noWrap w:val="0"/>
            <w:vAlign w:val="center"/>
          </w:tcPr>
          <w:p w14:paraId="26F15F54">
            <w:pPr>
              <w:autoSpaceDN w:val="0"/>
              <w:spacing w:line="320" w:lineRule="exact"/>
              <w:jc w:val="left"/>
              <w:textAlignment w:val="center"/>
              <w:rPr>
                <w:rFonts w:hint="eastAsia" w:ascii="仿宋_GB2312" w:hAnsi="仿宋_GB2312" w:eastAsia="仿宋_GB2312" w:cs="仿宋_GB2312"/>
                <w:color w:val="000000"/>
                <w:szCs w:val="21"/>
              </w:rPr>
            </w:pPr>
          </w:p>
        </w:tc>
      </w:tr>
      <w:tr w14:paraId="106CC2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740" w:type="dxa"/>
            <w:gridSpan w:val="3"/>
            <w:vMerge w:val="continue"/>
            <w:noWrap w:val="0"/>
            <w:vAlign w:val="center"/>
          </w:tcPr>
          <w:p w14:paraId="040FEDCE">
            <w:pPr>
              <w:spacing w:line="320" w:lineRule="exact"/>
              <w:rPr>
                <w:rFonts w:hint="eastAsia" w:ascii="仿宋_GB2312" w:hAnsi="仿宋_GB2312" w:eastAsia="仿宋_GB2312" w:cs="仿宋_GB2312"/>
                <w:sz w:val="24"/>
              </w:rPr>
            </w:pPr>
          </w:p>
        </w:tc>
        <w:tc>
          <w:tcPr>
            <w:tcW w:w="1250" w:type="dxa"/>
            <w:gridSpan w:val="2"/>
            <w:noWrap w:val="0"/>
            <w:vAlign w:val="center"/>
          </w:tcPr>
          <w:p w14:paraId="75BC52D8">
            <w:pPr>
              <w:autoSpaceDN w:val="0"/>
              <w:spacing w:line="320" w:lineRule="exact"/>
              <w:rPr>
                <w:rFonts w:hint="eastAsia" w:ascii="仿宋_GB2312" w:hAnsi="仿宋_GB2312" w:eastAsia="仿宋_GB2312" w:cs="仿宋_GB2312"/>
                <w:sz w:val="24"/>
              </w:rPr>
            </w:pPr>
          </w:p>
        </w:tc>
        <w:tc>
          <w:tcPr>
            <w:tcW w:w="1417" w:type="dxa"/>
            <w:gridSpan w:val="2"/>
            <w:noWrap w:val="0"/>
            <w:vAlign w:val="center"/>
          </w:tcPr>
          <w:p w14:paraId="7FF89898">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成本指标</w:t>
            </w:r>
          </w:p>
        </w:tc>
        <w:tc>
          <w:tcPr>
            <w:tcW w:w="2709" w:type="dxa"/>
            <w:gridSpan w:val="4"/>
            <w:noWrap w:val="0"/>
            <w:vAlign w:val="center"/>
          </w:tcPr>
          <w:p w14:paraId="456F6CE7">
            <w:pPr>
              <w:autoSpaceDN w:val="0"/>
              <w:spacing w:line="320" w:lineRule="exact"/>
              <w:jc w:val="left"/>
              <w:textAlignment w:val="center"/>
              <w:rPr>
                <w:rFonts w:hint="eastAsia" w:ascii="仿宋_GB2312" w:hAnsi="仿宋_GB2312" w:eastAsia="仿宋_GB2312" w:cs="仿宋_GB2312"/>
                <w:color w:val="000000"/>
                <w:szCs w:val="21"/>
              </w:rPr>
            </w:pPr>
            <w:r>
              <w:rPr>
                <w:rFonts w:hint="eastAsia" w:ascii="楷体" w:hAnsi="楷体" w:eastAsia="楷体" w:cs="楷体"/>
                <w:b w:val="0"/>
                <w:bCs w:val="0"/>
                <w:color w:val="000000"/>
                <w:spacing w:val="0"/>
                <w:sz w:val="21"/>
                <w:szCs w:val="21"/>
                <w:lang w:eastAsia="zh-CN"/>
              </w:rPr>
              <w:t>成本</w:t>
            </w:r>
            <w:r>
              <w:rPr>
                <w:rFonts w:hint="eastAsia" w:ascii="楷体" w:hAnsi="楷体" w:eastAsia="楷体" w:cs="楷体"/>
                <w:b w:val="0"/>
                <w:bCs w:val="0"/>
                <w:color w:val="000000"/>
                <w:spacing w:val="0"/>
                <w:sz w:val="21"/>
                <w:szCs w:val="21"/>
              </w:rPr>
              <w:t>管理</w:t>
            </w:r>
            <w:r>
              <w:rPr>
                <w:rFonts w:hint="eastAsia" w:ascii="楷体" w:hAnsi="楷体" w:eastAsia="楷体" w:cs="楷体"/>
                <w:b w:val="0"/>
                <w:bCs w:val="0"/>
                <w:color w:val="000000"/>
                <w:spacing w:val="0"/>
                <w:sz w:val="21"/>
                <w:szCs w:val="21"/>
                <w:lang w:eastAsia="zh-CN"/>
              </w:rPr>
              <w:t>节流</w:t>
            </w:r>
          </w:p>
        </w:tc>
        <w:tc>
          <w:tcPr>
            <w:tcW w:w="2684" w:type="dxa"/>
            <w:gridSpan w:val="6"/>
            <w:noWrap w:val="0"/>
            <w:vAlign w:val="center"/>
          </w:tcPr>
          <w:p w14:paraId="20691DB0">
            <w:pPr>
              <w:ind w:firstLine="301" w:firstLineChars="200"/>
              <w:rPr>
                <w:rFonts w:hint="eastAsia" w:ascii="仿宋_GB2312" w:hAnsi="仿宋" w:eastAsia="仿宋_GB2312"/>
                <w:sz w:val="15"/>
                <w:szCs w:val="15"/>
              </w:rPr>
            </w:pPr>
            <w:r>
              <w:rPr>
                <w:rFonts w:hint="eastAsia" w:ascii="仿宋_GB2312" w:hAnsi="仿宋" w:eastAsia="仿宋_GB2312" w:cs="仿宋"/>
                <w:b/>
                <w:bCs/>
                <w:sz w:val="15"/>
                <w:szCs w:val="15"/>
              </w:rPr>
              <w:t>一是</w:t>
            </w:r>
            <w:r>
              <w:rPr>
                <w:rFonts w:hint="eastAsia" w:ascii="仿宋_GB2312" w:hAnsi="仿宋" w:eastAsia="仿宋_GB2312" w:cs="仿宋"/>
                <w:sz w:val="15"/>
                <w:szCs w:val="15"/>
                <w:shd w:val="clear" w:color="auto" w:fill="FFFFFF"/>
              </w:rPr>
              <w:t>加强国有资产管理</w:t>
            </w:r>
            <w:r>
              <w:rPr>
                <w:rFonts w:hint="eastAsia" w:ascii="仿宋_GB2312" w:hAnsi="仿宋" w:eastAsia="仿宋_GB2312" w:cs="仿宋"/>
                <w:sz w:val="15"/>
                <w:szCs w:val="15"/>
                <w:shd w:val="clear" w:color="auto" w:fill="FFFFFF"/>
                <w:lang w:eastAsia="zh-CN"/>
              </w:rPr>
              <w:t>，</w:t>
            </w:r>
            <w:r>
              <w:rPr>
                <w:rFonts w:hint="eastAsia" w:ascii="仿宋_GB2312" w:hAnsi="仿宋" w:eastAsia="仿宋_GB2312" w:cs="仿宋"/>
                <w:sz w:val="15"/>
                <w:szCs w:val="15"/>
                <w:shd w:val="clear" w:color="auto" w:fill="FFFFFF"/>
              </w:rPr>
              <w:t>资产月报工作获得全市通报表扬；</w:t>
            </w:r>
            <w:r>
              <w:rPr>
                <w:rFonts w:hint="eastAsia" w:ascii="仿宋_GB2312" w:hAnsi="仿宋" w:eastAsia="仿宋_GB2312"/>
                <w:sz w:val="15"/>
                <w:szCs w:val="15"/>
              </w:rPr>
              <w:t>完成先锋路老院土地房产测绘测量</w:t>
            </w:r>
            <w:r>
              <w:rPr>
                <w:rFonts w:hint="eastAsia" w:ascii="仿宋_GB2312" w:hAnsi="仿宋" w:eastAsia="仿宋_GB2312"/>
                <w:sz w:val="15"/>
                <w:szCs w:val="15"/>
                <w:lang w:val="en-US" w:eastAsia="zh-CN"/>
              </w:rPr>
              <w:t>和</w:t>
            </w:r>
            <w:r>
              <w:rPr>
                <w:rFonts w:hint="eastAsia" w:ascii="仿宋_GB2312" w:hAnsi="仿宋" w:eastAsia="仿宋_GB2312"/>
                <w:sz w:val="15"/>
                <w:szCs w:val="15"/>
              </w:rPr>
              <w:t>医疗区资产评估；国资办积极为各临床科室、维修中心提供各类报废修复再利用资产和设备配件共计50余件，节约资金10万余元。高质量完成资产月报工作，获得全市通报表扬。</w:t>
            </w:r>
            <w:r>
              <w:rPr>
                <w:rFonts w:hint="eastAsia" w:ascii="仿宋_GB2312" w:hAnsi="仿宋" w:eastAsia="仿宋_GB2312"/>
                <w:b/>
                <w:bCs/>
                <w:sz w:val="15"/>
                <w:szCs w:val="15"/>
              </w:rPr>
              <w:t>二是</w:t>
            </w:r>
            <w:r>
              <w:rPr>
                <w:rFonts w:hint="eastAsia" w:ascii="仿宋_GB2312" w:hAnsi="仿宋" w:eastAsia="仿宋_GB2312" w:cs="仿宋"/>
                <w:sz w:val="15"/>
                <w:szCs w:val="15"/>
                <w:shd w:val="clear" w:color="auto" w:fill="FFFFFF"/>
              </w:rPr>
              <w:t>加强大型设备自主维保。</w:t>
            </w:r>
            <w:r>
              <w:rPr>
                <w:rFonts w:hint="eastAsia" w:ascii="仿宋_GB2312" w:hAnsi="仿宋" w:eastAsia="仿宋_GB2312"/>
                <w:sz w:val="15"/>
                <w:szCs w:val="15"/>
              </w:rPr>
              <w:t>按照“维修优先，应修尽修，自修优先”的原则，自主完成CT、PET/CT、直加、核磁、B超等各类维修</w:t>
            </w:r>
            <w:r>
              <w:rPr>
                <w:rFonts w:hint="eastAsia" w:ascii="仿宋_GB2312" w:hAnsi="仿宋" w:eastAsia="仿宋_GB2312"/>
                <w:sz w:val="15"/>
                <w:szCs w:val="15"/>
                <w:lang w:val="en-US" w:eastAsia="zh-CN"/>
              </w:rPr>
              <w:t>2</w:t>
            </w:r>
            <w:r>
              <w:rPr>
                <w:rFonts w:hint="eastAsia" w:ascii="仿宋_GB2312" w:hAnsi="仿宋" w:eastAsia="仿宋_GB2312"/>
                <w:sz w:val="15"/>
                <w:szCs w:val="15"/>
              </w:rPr>
              <w:t>00余次，维保费用</w:t>
            </w:r>
            <w:r>
              <w:rPr>
                <w:rFonts w:hint="eastAsia" w:ascii="仿宋_GB2312" w:hAnsi="仿宋" w:eastAsia="仿宋_GB2312"/>
                <w:sz w:val="15"/>
                <w:szCs w:val="15"/>
                <w:lang w:val="en-US" w:eastAsia="zh-CN"/>
              </w:rPr>
              <w:t>同比下降24%</w:t>
            </w:r>
            <w:r>
              <w:rPr>
                <w:rFonts w:hint="eastAsia" w:ascii="仿宋_GB2312" w:hAnsi="仿宋" w:eastAsia="仿宋_GB2312"/>
                <w:sz w:val="15"/>
                <w:szCs w:val="15"/>
              </w:rPr>
              <w:t>。</w:t>
            </w:r>
            <w:r>
              <w:rPr>
                <w:rFonts w:hint="eastAsia" w:ascii="仿宋_GB2312" w:hAnsi="仿宋" w:eastAsia="仿宋_GB2312"/>
                <w:b/>
                <w:bCs/>
                <w:sz w:val="15"/>
                <w:szCs w:val="15"/>
              </w:rPr>
              <w:t>三是</w:t>
            </w:r>
            <w:r>
              <w:rPr>
                <w:rFonts w:hint="eastAsia" w:ascii="仿宋_GB2312" w:hAnsi="仿宋" w:eastAsia="仿宋_GB2312"/>
                <w:sz w:val="15"/>
                <w:szCs w:val="15"/>
              </w:rPr>
              <w:t>加强耗材管理。积极打造SPD精准管理平台，审核基础数据字典3566条，重建全院耗材物资字典，对全院低值耗材、高值耗材、检验试剂等全面实现数字化、精准化管理</w:t>
            </w:r>
            <w:r>
              <w:rPr>
                <w:rFonts w:hint="eastAsia" w:ascii="仿宋_GB2312" w:hAnsi="仿宋" w:eastAsia="仿宋_GB2312"/>
                <w:sz w:val="15"/>
                <w:szCs w:val="15"/>
                <w:lang w:eastAsia="zh-CN"/>
              </w:rPr>
              <w:t>，</w:t>
            </w:r>
            <w:r>
              <w:rPr>
                <w:rFonts w:hint="eastAsia" w:ascii="仿宋_GB2312" w:hAnsi="仿宋" w:eastAsia="仿宋_GB2312"/>
                <w:sz w:val="15"/>
                <w:szCs w:val="15"/>
                <w:lang w:val="en-US" w:eastAsia="zh-CN"/>
              </w:rPr>
              <w:t>被评为</w:t>
            </w:r>
            <w:r>
              <w:rPr>
                <w:rFonts w:hint="eastAsia" w:ascii="仿宋_GB2312" w:hAnsi="仿宋" w:eastAsia="仿宋_GB2312"/>
                <w:sz w:val="15"/>
                <w:szCs w:val="15"/>
              </w:rPr>
              <w:t>岳阳市唯一一家信用等级AAA医疗机构。</w:t>
            </w:r>
          </w:p>
          <w:p w14:paraId="15A2CE26">
            <w:pPr>
              <w:autoSpaceDN w:val="0"/>
              <w:spacing w:line="320" w:lineRule="exact"/>
              <w:jc w:val="left"/>
              <w:textAlignment w:val="center"/>
              <w:rPr>
                <w:rFonts w:hint="eastAsia" w:ascii="仿宋_GB2312" w:hAnsi="仿宋" w:eastAsia="仿宋_GB2312" w:cs="仿宋"/>
                <w:bCs/>
                <w:color w:val="000000"/>
                <w:szCs w:val="21"/>
              </w:rPr>
            </w:pPr>
          </w:p>
        </w:tc>
      </w:tr>
      <w:tr w14:paraId="0DEE65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740" w:type="dxa"/>
            <w:gridSpan w:val="3"/>
            <w:vMerge w:val="continue"/>
            <w:noWrap w:val="0"/>
            <w:vAlign w:val="center"/>
          </w:tcPr>
          <w:p w14:paraId="56A58E55">
            <w:pPr>
              <w:spacing w:line="320" w:lineRule="exact"/>
              <w:rPr>
                <w:rFonts w:hint="eastAsia" w:ascii="仿宋_GB2312" w:hAnsi="仿宋_GB2312" w:eastAsia="仿宋_GB2312" w:cs="仿宋_GB2312"/>
                <w:sz w:val="24"/>
              </w:rPr>
            </w:pPr>
          </w:p>
        </w:tc>
        <w:tc>
          <w:tcPr>
            <w:tcW w:w="1250" w:type="dxa"/>
            <w:gridSpan w:val="2"/>
            <w:vMerge w:val="restart"/>
            <w:noWrap w:val="0"/>
            <w:vAlign w:val="center"/>
          </w:tcPr>
          <w:p w14:paraId="37903D95">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效益目标</w:t>
            </w:r>
          </w:p>
          <w:p w14:paraId="7CE7947A">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（预期实现的效益）</w:t>
            </w:r>
          </w:p>
        </w:tc>
        <w:tc>
          <w:tcPr>
            <w:tcW w:w="1417" w:type="dxa"/>
            <w:gridSpan w:val="2"/>
            <w:noWrap w:val="0"/>
            <w:vAlign w:val="center"/>
          </w:tcPr>
          <w:p w14:paraId="561D2DB2">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社会效益</w:t>
            </w:r>
          </w:p>
        </w:tc>
        <w:tc>
          <w:tcPr>
            <w:tcW w:w="2709" w:type="dxa"/>
            <w:gridSpan w:val="4"/>
            <w:noWrap w:val="0"/>
            <w:vAlign w:val="center"/>
          </w:tcPr>
          <w:p w14:paraId="557840BF">
            <w:pPr>
              <w:numPr>
                <w:ilvl w:val="0"/>
                <w:numId w:val="3"/>
              </w:num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抓好文明建设</w:t>
            </w:r>
          </w:p>
          <w:p w14:paraId="1E2CD47D">
            <w:pPr>
              <w:numPr>
                <w:ilvl w:val="0"/>
                <w:numId w:val="3"/>
              </w:num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温暖细致的护理关怀</w:t>
            </w:r>
          </w:p>
        </w:tc>
        <w:tc>
          <w:tcPr>
            <w:tcW w:w="2684" w:type="dxa"/>
            <w:gridSpan w:val="6"/>
            <w:noWrap w:val="0"/>
            <w:vAlign w:val="center"/>
          </w:tcPr>
          <w:p w14:paraId="34A98EEF">
            <w:pPr>
              <w:spacing w:line="580" w:lineRule="exact"/>
              <w:ind w:firstLine="261" w:firstLineChars="200"/>
              <w:rPr>
                <w:rFonts w:hint="default" w:ascii="仿宋_GB2312" w:hAnsi="仿宋" w:eastAsia="仿宋_GB2312" w:cs="仿宋"/>
                <w:sz w:val="13"/>
                <w:szCs w:val="13"/>
                <w:shd w:val="clear" w:color="auto" w:fill="FFFFFF"/>
                <w:lang w:val="en-US" w:eastAsia="zh-CN"/>
              </w:rPr>
            </w:pPr>
            <w:r>
              <w:rPr>
                <w:rFonts w:hint="eastAsia" w:ascii="仿宋_GB2312" w:hAnsi="仿宋" w:eastAsia="仿宋_GB2312" w:cs="仿宋"/>
                <w:b/>
                <w:bCs/>
                <w:color w:val="000000"/>
                <w:sz w:val="13"/>
                <w:szCs w:val="13"/>
                <w:lang w:val="en-US" w:eastAsia="zh-CN"/>
              </w:rPr>
              <w:t>1</w:t>
            </w:r>
            <w:r>
              <w:rPr>
                <w:rFonts w:hint="eastAsia" w:ascii="仿宋_GB2312" w:hAnsi="仿宋" w:eastAsia="仿宋_GB2312" w:cs="仿宋"/>
                <w:b/>
                <w:bCs/>
                <w:color w:val="000000"/>
                <w:sz w:val="13"/>
                <w:szCs w:val="13"/>
              </w:rPr>
              <w:t>.</w:t>
            </w:r>
            <w:r>
              <w:rPr>
                <w:rFonts w:hint="eastAsia" w:ascii="仿宋_GB2312" w:hAnsi="仿宋" w:eastAsia="仿宋_GB2312" w:cs="仿宋"/>
                <w:b/>
                <w:bCs/>
                <w:sz w:val="13"/>
                <w:szCs w:val="13"/>
              </w:rPr>
              <w:t>文明创建大力推进。</w:t>
            </w:r>
            <w:r>
              <w:rPr>
                <w:rFonts w:hint="eastAsia" w:ascii="仿宋_GB2312" w:hAnsi="仿宋" w:eastAsia="仿宋_GB2312" w:cs="仿宋"/>
                <w:sz w:val="13"/>
                <w:szCs w:val="13"/>
                <w:shd w:val="clear" w:color="auto" w:fill="FFFFFF"/>
              </w:rPr>
              <w:t>相继开展了“守护一江碧水”志愿活动、“医心为您，健康相伴”学雷锋系列活动（为8名高龄无陪患者做一天陪护、三荷乡敬老院为老人送温暖并开展义诊）、“种一颗小树，净一方净土”植树活动；医院扶贫干部付新生被授予岳阳市“最美志愿者”称号；组织拍摄了岳阳市道德模范—产科主任刘佳的先进事迹报道，编入全市“德耀巴陵”先进事迹基层宣讲活动；开展“献人医热血 做四亮先锋”无偿公益献血活动，150余名职工踊跃献血近6万毫升；</w:t>
            </w:r>
            <w:r>
              <w:rPr>
                <w:rFonts w:hint="eastAsia" w:ascii="仿宋_GB2312" w:hAnsi="仿宋" w:eastAsia="仿宋_GB2312" w:cs="仿宋"/>
                <w:sz w:val="13"/>
                <w:szCs w:val="13"/>
                <w:shd w:val="clear" w:color="auto" w:fill="FFFFFF"/>
                <w:lang w:val="en-US" w:eastAsia="zh-CN"/>
              </w:rPr>
              <w:t>积极参与我市“温暖巴陵”服务项目，为留守、困境儿童筹集过冬物资；</w:t>
            </w:r>
            <w:r>
              <w:rPr>
                <w:rFonts w:hint="eastAsia" w:ascii="仿宋_GB2312" w:hAnsi="仿宋" w:eastAsia="仿宋_GB2312" w:cs="仿宋"/>
                <w:sz w:val="13"/>
                <w:szCs w:val="13"/>
                <w:shd w:val="clear" w:color="auto" w:fill="FFFFFF"/>
              </w:rPr>
              <w:t>各党支部相继开展了“美丽中国——我是行动者”主题党日、“我们的节日——端午”主题义诊、“百善孝为先”主题道德讲堂等活动，在全院营造浓厚的向善向上文明之风</w:t>
            </w:r>
            <w:r>
              <w:rPr>
                <w:rFonts w:hint="eastAsia" w:ascii="仿宋_GB2312" w:hAnsi="仿宋" w:eastAsia="仿宋_GB2312" w:cs="仿宋"/>
                <w:sz w:val="13"/>
                <w:szCs w:val="13"/>
                <w:shd w:val="clear" w:color="auto" w:fill="FFFFFF"/>
                <w:lang w:eastAsia="zh-CN"/>
              </w:rPr>
              <w:t>，</w:t>
            </w:r>
            <w:r>
              <w:rPr>
                <w:rFonts w:hint="eastAsia" w:ascii="仿宋_GB2312" w:hAnsi="仿宋" w:eastAsia="仿宋_GB2312" w:cs="仿宋"/>
                <w:sz w:val="13"/>
                <w:szCs w:val="13"/>
                <w:shd w:val="clear" w:color="auto" w:fill="FFFFFF"/>
                <w:lang w:val="en-US" w:eastAsia="zh-CN"/>
              </w:rPr>
              <w:t>成功创建湖南省文明标兵单位。</w:t>
            </w:r>
          </w:p>
          <w:p w14:paraId="5E3709FD">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260" w:firstLineChars="200"/>
              <w:textAlignment w:val="auto"/>
              <w:outlineLvl w:val="9"/>
              <w:rPr>
                <w:rFonts w:hint="eastAsia" w:ascii="仿宋" w:hAnsi="仿宋" w:eastAsia="仿宋" w:cs="仿宋"/>
                <w:color w:val="000000"/>
                <w:spacing w:val="0"/>
                <w:sz w:val="13"/>
                <w:szCs w:val="13"/>
                <w:lang w:val="en-US" w:eastAsia="zh-CN"/>
              </w:rPr>
            </w:pPr>
          </w:p>
          <w:p w14:paraId="03F97A9D">
            <w:pPr>
              <w:autoSpaceDN w:val="0"/>
              <w:spacing w:line="240" w:lineRule="auto"/>
              <w:jc w:val="left"/>
              <w:textAlignment w:val="center"/>
              <w:rPr>
                <w:rFonts w:hint="eastAsia" w:ascii="仿宋_GB2312" w:hAnsi="仿宋_GB2312" w:eastAsia="仿宋_GB2312" w:cs="仿宋_GB2312"/>
                <w:b/>
                <w:color w:val="000000"/>
                <w:szCs w:val="21"/>
              </w:rPr>
            </w:pPr>
            <w:r>
              <w:rPr>
                <w:rFonts w:hint="eastAsia" w:ascii="仿宋_GB2312" w:hAnsi="仿宋" w:eastAsia="仿宋_GB2312" w:cs="仿宋"/>
                <w:b/>
                <w:bCs/>
                <w:sz w:val="15"/>
                <w:szCs w:val="15"/>
                <w:lang w:val="en-US" w:eastAsia="zh-CN"/>
              </w:rPr>
              <w:t>2.</w:t>
            </w:r>
            <w:r>
              <w:rPr>
                <w:rFonts w:hint="eastAsia" w:ascii="仿宋_GB2312" w:hAnsi="仿宋" w:eastAsia="仿宋_GB2312" w:cs="仿宋"/>
                <w:b/>
                <w:bCs/>
                <w:sz w:val="15"/>
                <w:szCs w:val="15"/>
              </w:rPr>
              <w:t>全面发力提升护理服务。</w:t>
            </w:r>
            <w:r>
              <w:rPr>
                <w:rFonts w:hint="eastAsia" w:ascii="仿宋_GB2312" w:hAnsi="仿宋" w:eastAsia="仿宋_GB2312" w:cs="仿宋"/>
                <w:sz w:val="15"/>
                <w:szCs w:val="15"/>
              </w:rPr>
              <w:t>紧扣“不倒翁圈”“无栓圈”等6个品管圈活动和打造无陪病房、开展“暖心陪诊、细心照护、贴心护送”“三心”服务等举措，切实提升护理服务水平。成立药品安全管理小组和仪器设备管理小组，和其他8个专科小组一起开展培训和专科质控，持续改进护理质量；分层分批开展了中华护理学会团体标准专题培训、三基三严培训考核、专科小组培训、新任护士长培训、护士长管理能力线上大讲堂、外出学习人员汇报等学习培训活动，不断提升护理队伍专业素质；修订了《氧气吸入》《静脉输液》《医嘱核对流程》等5项管理制度和工作流程；进一步规范了《手术安全核查登记制度》，使护理工作更加规范严谨。荣获“湖南省优质护理服务表现突出医院”，王丹等3人荣获湖南省优质护理服务表现突出个人；肾内科、颈胸外科2个护理案例双双荣获岳阳市第三届最佳临床实践案例竞赛一等奖</w:t>
            </w:r>
            <w:r>
              <w:rPr>
                <w:rFonts w:hint="eastAsia" w:ascii="仿宋_GB2312" w:hAnsi="仿宋" w:eastAsia="仿宋_GB2312" w:cs="仿宋"/>
                <w:sz w:val="15"/>
                <w:szCs w:val="15"/>
                <w:lang w:eastAsia="zh-CN"/>
              </w:rPr>
              <w:t>；消毒供应中心</w:t>
            </w:r>
            <w:r>
              <w:rPr>
                <w:rFonts w:hint="eastAsia" w:ascii="仿宋_GB2312" w:hAnsi="仿宋" w:eastAsia="仿宋_GB2312" w:cs="仿宋"/>
                <w:sz w:val="15"/>
                <w:szCs w:val="15"/>
                <w:lang w:val="en-US" w:eastAsia="zh-CN"/>
              </w:rPr>
              <w:t>荣获</w:t>
            </w:r>
            <w:r>
              <w:rPr>
                <w:rFonts w:hint="eastAsia" w:ascii="仿宋_GB2312" w:hAnsi="仿宋" w:eastAsia="仿宋_GB2312" w:cs="仿宋"/>
                <w:sz w:val="15"/>
                <w:szCs w:val="15"/>
                <w:lang w:eastAsia="zh-CN"/>
              </w:rPr>
              <w:t>湖南省医院消毒供应中心创新大赛二等奖；肾内科</w:t>
            </w:r>
            <w:r>
              <w:rPr>
                <w:rFonts w:hint="eastAsia" w:ascii="仿宋_GB2312" w:hAnsi="仿宋" w:eastAsia="仿宋_GB2312" w:cs="仿宋"/>
                <w:sz w:val="15"/>
                <w:szCs w:val="15"/>
                <w:lang w:val="en-US" w:eastAsia="zh-CN"/>
              </w:rPr>
              <w:t>护理</w:t>
            </w:r>
            <w:r>
              <w:rPr>
                <w:rFonts w:hint="eastAsia" w:ascii="仿宋_GB2312" w:hAnsi="仿宋" w:eastAsia="仿宋_GB2312" w:cs="仿宋"/>
                <w:sz w:val="15"/>
                <w:szCs w:val="15"/>
                <w:lang w:eastAsia="zh-CN"/>
              </w:rPr>
              <w:t>案例</w:t>
            </w:r>
            <w:r>
              <w:rPr>
                <w:rFonts w:hint="eastAsia" w:ascii="仿宋_GB2312" w:hAnsi="仿宋" w:eastAsia="仿宋_GB2312" w:cs="仿宋"/>
                <w:sz w:val="15"/>
                <w:szCs w:val="15"/>
                <w:lang w:val="en-US" w:eastAsia="zh-CN"/>
              </w:rPr>
              <w:t>荣获</w:t>
            </w:r>
            <w:r>
              <w:rPr>
                <w:rFonts w:hint="eastAsia" w:ascii="仿宋_GB2312" w:hAnsi="仿宋" w:eastAsia="仿宋_GB2312" w:cs="仿宋"/>
                <w:sz w:val="15"/>
                <w:szCs w:val="15"/>
                <w:lang w:eastAsia="zh-CN"/>
              </w:rPr>
              <w:t>第三届国家医院感染相关标准执行案例比赛二等奖。</w:t>
            </w:r>
          </w:p>
        </w:tc>
      </w:tr>
      <w:tr w14:paraId="009B3A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740" w:type="dxa"/>
            <w:gridSpan w:val="3"/>
            <w:vMerge w:val="continue"/>
            <w:noWrap w:val="0"/>
            <w:vAlign w:val="center"/>
          </w:tcPr>
          <w:p w14:paraId="750A3A06">
            <w:pPr>
              <w:spacing w:line="320" w:lineRule="exact"/>
              <w:rPr>
                <w:rFonts w:hint="eastAsia" w:ascii="仿宋_GB2312" w:hAnsi="仿宋_GB2312" w:eastAsia="仿宋_GB2312" w:cs="仿宋_GB2312"/>
                <w:sz w:val="24"/>
              </w:rPr>
            </w:pPr>
          </w:p>
        </w:tc>
        <w:tc>
          <w:tcPr>
            <w:tcW w:w="1250" w:type="dxa"/>
            <w:gridSpan w:val="2"/>
            <w:vMerge w:val="continue"/>
            <w:noWrap w:val="0"/>
            <w:vAlign w:val="center"/>
          </w:tcPr>
          <w:p w14:paraId="5F4672F3">
            <w:pPr>
              <w:autoSpaceDN w:val="0"/>
              <w:spacing w:line="320" w:lineRule="exact"/>
              <w:rPr>
                <w:rFonts w:hint="eastAsia" w:ascii="仿宋_GB2312" w:hAnsi="仿宋_GB2312" w:eastAsia="仿宋_GB2312" w:cs="仿宋_GB2312"/>
                <w:sz w:val="24"/>
              </w:rPr>
            </w:pPr>
          </w:p>
        </w:tc>
        <w:tc>
          <w:tcPr>
            <w:tcW w:w="1417" w:type="dxa"/>
            <w:gridSpan w:val="2"/>
            <w:noWrap w:val="0"/>
            <w:vAlign w:val="center"/>
          </w:tcPr>
          <w:p w14:paraId="2ED705D8">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经济效益</w:t>
            </w:r>
          </w:p>
        </w:tc>
        <w:tc>
          <w:tcPr>
            <w:tcW w:w="2709" w:type="dxa"/>
            <w:gridSpan w:val="4"/>
            <w:noWrap w:val="0"/>
            <w:vAlign w:val="center"/>
          </w:tcPr>
          <w:p w14:paraId="21380F2E">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指标1：</w:t>
            </w:r>
          </w:p>
          <w:p w14:paraId="426AF6A8">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指标2：</w:t>
            </w:r>
          </w:p>
          <w:p w14:paraId="3EEDF3EA">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w:t>
            </w:r>
          </w:p>
        </w:tc>
        <w:tc>
          <w:tcPr>
            <w:tcW w:w="2684" w:type="dxa"/>
            <w:gridSpan w:val="6"/>
            <w:noWrap w:val="0"/>
            <w:vAlign w:val="center"/>
          </w:tcPr>
          <w:p w14:paraId="48E3B332">
            <w:pPr>
              <w:autoSpaceDN w:val="0"/>
              <w:spacing w:line="320" w:lineRule="exact"/>
              <w:jc w:val="left"/>
              <w:textAlignment w:val="center"/>
              <w:rPr>
                <w:rFonts w:hint="eastAsia" w:ascii="仿宋_GB2312" w:hAnsi="仿宋_GB2312" w:eastAsia="仿宋_GB2312" w:cs="仿宋_GB2312"/>
                <w:b/>
                <w:color w:val="000000"/>
                <w:szCs w:val="21"/>
              </w:rPr>
            </w:pPr>
          </w:p>
        </w:tc>
      </w:tr>
      <w:tr w14:paraId="581B7A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740" w:type="dxa"/>
            <w:gridSpan w:val="3"/>
            <w:vMerge w:val="continue"/>
            <w:noWrap w:val="0"/>
            <w:vAlign w:val="center"/>
          </w:tcPr>
          <w:p w14:paraId="50E71120">
            <w:pPr>
              <w:spacing w:line="320" w:lineRule="exact"/>
              <w:rPr>
                <w:rFonts w:hint="eastAsia" w:ascii="仿宋_GB2312" w:hAnsi="仿宋_GB2312" w:eastAsia="仿宋_GB2312" w:cs="仿宋_GB2312"/>
                <w:sz w:val="24"/>
              </w:rPr>
            </w:pPr>
          </w:p>
        </w:tc>
        <w:tc>
          <w:tcPr>
            <w:tcW w:w="1250" w:type="dxa"/>
            <w:gridSpan w:val="2"/>
            <w:vMerge w:val="continue"/>
            <w:noWrap w:val="0"/>
            <w:vAlign w:val="center"/>
          </w:tcPr>
          <w:p w14:paraId="334B3943">
            <w:pPr>
              <w:autoSpaceDN w:val="0"/>
              <w:spacing w:line="320" w:lineRule="exact"/>
              <w:rPr>
                <w:rFonts w:hint="eastAsia" w:ascii="仿宋_GB2312" w:hAnsi="仿宋_GB2312" w:eastAsia="仿宋_GB2312" w:cs="仿宋_GB2312"/>
                <w:sz w:val="24"/>
              </w:rPr>
            </w:pPr>
          </w:p>
        </w:tc>
        <w:tc>
          <w:tcPr>
            <w:tcW w:w="1417" w:type="dxa"/>
            <w:gridSpan w:val="2"/>
            <w:noWrap w:val="0"/>
            <w:vAlign w:val="center"/>
          </w:tcPr>
          <w:p w14:paraId="7A611E43">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生态效益</w:t>
            </w:r>
          </w:p>
        </w:tc>
        <w:tc>
          <w:tcPr>
            <w:tcW w:w="2709" w:type="dxa"/>
            <w:gridSpan w:val="4"/>
            <w:noWrap w:val="0"/>
            <w:vAlign w:val="center"/>
          </w:tcPr>
          <w:p w14:paraId="2B8B062F">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加强污水处理，重视环境保护责无旁贷</w:t>
            </w:r>
          </w:p>
          <w:p w14:paraId="44E8C249">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w:t>
            </w:r>
          </w:p>
        </w:tc>
        <w:tc>
          <w:tcPr>
            <w:tcW w:w="2684" w:type="dxa"/>
            <w:gridSpan w:val="6"/>
            <w:noWrap w:val="0"/>
            <w:vAlign w:val="center"/>
          </w:tcPr>
          <w:p w14:paraId="2DA89C30">
            <w:pPr>
              <w:autoSpaceDN w:val="0"/>
              <w:spacing w:line="320" w:lineRule="exact"/>
              <w:jc w:val="center"/>
              <w:textAlignment w:val="center"/>
              <w:rPr>
                <w:rFonts w:hint="eastAsia" w:ascii="仿宋_GB2312" w:hAnsi="仿宋_GB2312" w:eastAsia="仿宋_GB2312" w:cs="仿宋_GB2312"/>
                <w:color w:val="000000"/>
                <w:szCs w:val="21"/>
              </w:rPr>
            </w:pPr>
            <w:r>
              <w:rPr>
                <w:rFonts w:hint="eastAsia" w:ascii="仿宋_GB2312" w:hAnsi="仿宋_GB2312" w:eastAsia="仿宋_GB2312" w:cs="仿宋_GB2312"/>
                <w:color w:val="000000"/>
                <w:szCs w:val="21"/>
              </w:rPr>
              <w:t>医院领导高度重视环保工作，先后组织召开环保工作专题会议、污水处理现场办公会议11次；污水处理站严格实行24小时值班制，确保污水达标排放。</w:t>
            </w:r>
          </w:p>
        </w:tc>
      </w:tr>
      <w:tr w14:paraId="6658C2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740" w:type="dxa"/>
            <w:gridSpan w:val="3"/>
            <w:vMerge w:val="continue"/>
            <w:noWrap w:val="0"/>
            <w:vAlign w:val="center"/>
          </w:tcPr>
          <w:p w14:paraId="12DD70E9">
            <w:pPr>
              <w:spacing w:line="320" w:lineRule="exact"/>
              <w:rPr>
                <w:rFonts w:hint="eastAsia" w:ascii="仿宋_GB2312" w:hAnsi="仿宋_GB2312" w:eastAsia="仿宋_GB2312" w:cs="仿宋_GB2312"/>
                <w:sz w:val="24"/>
              </w:rPr>
            </w:pPr>
          </w:p>
        </w:tc>
        <w:tc>
          <w:tcPr>
            <w:tcW w:w="1250" w:type="dxa"/>
            <w:gridSpan w:val="2"/>
            <w:vMerge w:val="continue"/>
            <w:noWrap w:val="0"/>
            <w:vAlign w:val="center"/>
          </w:tcPr>
          <w:p w14:paraId="76CBD6B3">
            <w:pPr>
              <w:autoSpaceDN w:val="0"/>
              <w:spacing w:line="320" w:lineRule="exact"/>
              <w:rPr>
                <w:rFonts w:hint="eastAsia" w:ascii="仿宋_GB2312" w:hAnsi="仿宋_GB2312" w:eastAsia="仿宋_GB2312" w:cs="仿宋_GB2312"/>
                <w:sz w:val="24"/>
              </w:rPr>
            </w:pPr>
          </w:p>
        </w:tc>
        <w:tc>
          <w:tcPr>
            <w:tcW w:w="1417" w:type="dxa"/>
            <w:gridSpan w:val="2"/>
            <w:noWrap w:val="0"/>
            <w:vAlign w:val="center"/>
          </w:tcPr>
          <w:p w14:paraId="3BD48037">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社会公众或服务对象满意度</w:t>
            </w:r>
          </w:p>
        </w:tc>
        <w:tc>
          <w:tcPr>
            <w:tcW w:w="2709" w:type="dxa"/>
            <w:gridSpan w:val="4"/>
            <w:noWrap w:val="0"/>
            <w:vAlign w:val="center"/>
          </w:tcPr>
          <w:p w14:paraId="1B7A2814">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落实加强为病人服务的各项举措</w:t>
            </w:r>
          </w:p>
        </w:tc>
        <w:tc>
          <w:tcPr>
            <w:tcW w:w="2684" w:type="dxa"/>
            <w:gridSpan w:val="6"/>
            <w:noWrap w:val="0"/>
            <w:vAlign w:val="center"/>
          </w:tcPr>
          <w:p w14:paraId="7A8FF9F4">
            <w:pPr>
              <w:spacing w:line="580" w:lineRule="exact"/>
              <w:ind w:firstLine="301" w:firstLineChars="200"/>
              <w:rPr>
                <w:rFonts w:hint="eastAsia" w:ascii="仿宋_GB2312" w:hAnsi="仿宋" w:eastAsia="仿宋_GB2312" w:cs="仿宋"/>
                <w:sz w:val="15"/>
                <w:szCs w:val="15"/>
              </w:rPr>
            </w:pPr>
            <w:r>
              <w:rPr>
                <w:rFonts w:hint="eastAsia" w:ascii="仿宋_GB2312" w:hAnsi="仿宋" w:eastAsia="仿宋_GB2312" w:cs="仿宋"/>
                <w:b/>
                <w:bCs/>
                <w:sz w:val="15"/>
                <w:szCs w:val="15"/>
                <w:lang w:val="en-US" w:eastAsia="zh-CN"/>
              </w:rPr>
              <w:t>1.</w:t>
            </w:r>
            <w:r>
              <w:rPr>
                <w:rFonts w:hint="eastAsia" w:ascii="仿宋_GB2312" w:hAnsi="仿宋" w:eastAsia="仿宋_GB2312" w:cs="仿宋"/>
                <w:b/>
                <w:bCs/>
                <w:sz w:val="15"/>
                <w:szCs w:val="15"/>
              </w:rPr>
              <w:t>互联网医院建设不断推进。</w:t>
            </w:r>
            <w:r>
              <w:rPr>
                <w:rFonts w:hint="eastAsia" w:ascii="仿宋_GB2312" w:hAnsi="仿宋" w:eastAsia="仿宋_GB2312" w:cs="仿宋"/>
                <w:sz w:val="15"/>
                <w:szCs w:val="15"/>
              </w:rPr>
              <w:t>共有33个科室</w:t>
            </w:r>
            <w:r>
              <w:rPr>
                <w:rFonts w:hint="eastAsia" w:ascii="仿宋_GB2312" w:hAnsi="仿宋" w:eastAsia="仿宋_GB2312" w:cs="仿宋"/>
                <w:sz w:val="15"/>
                <w:szCs w:val="15"/>
                <w:lang w:eastAsia="zh-CN"/>
              </w:rPr>
              <w:t>、</w:t>
            </w:r>
            <w:r>
              <w:rPr>
                <w:rFonts w:hint="eastAsia" w:ascii="仿宋_GB2312" w:hAnsi="仿宋" w:eastAsia="仿宋_GB2312" w:cs="仿宋"/>
                <w:sz w:val="15"/>
                <w:szCs w:val="15"/>
              </w:rPr>
              <w:t>230名医生完成服务上线；互联网医院药房已对接院内西药房、便民药房和达嘉维康，并审核上线第一批药品819个；对接第三方药品配送服务商顺风快递，开通第三方药品配送服务。互联网医院平台关注用户</w:t>
            </w:r>
            <w:r>
              <w:rPr>
                <w:rFonts w:hint="eastAsia" w:ascii="仿宋_GB2312" w:hAnsi="仿宋" w:eastAsia="仿宋_GB2312" w:cs="仿宋"/>
                <w:sz w:val="15"/>
                <w:szCs w:val="15"/>
                <w:lang w:val="en-US" w:eastAsia="zh-CN"/>
              </w:rPr>
              <w:t>2万余人</w:t>
            </w:r>
            <w:r>
              <w:rPr>
                <w:rFonts w:hint="default" w:ascii="仿宋_GB2312" w:hAnsi="仿宋" w:eastAsia="仿宋_GB2312" w:cs="仿宋"/>
                <w:sz w:val="15"/>
                <w:szCs w:val="15"/>
                <w:lang w:val="en-US" w:eastAsia="zh-CN"/>
              </w:rPr>
              <w:t>；图文咨询</w:t>
            </w:r>
            <w:r>
              <w:rPr>
                <w:rFonts w:hint="eastAsia" w:ascii="仿宋_GB2312" w:hAnsi="仿宋" w:eastAsia="仿宋_GB2312" w:cs="仿宋"/>
                <w:sz w:val="15"/>
                <w:szCs w:val="15"/>
                <w:lang w:val="en-US" w:eastAsia="zh-CN"/>
              </w:rPr>
              <w:t>689</w:t>
            </w:r>
            <w:r>
              <w:rPr>
                <w:rFonts w:hint="default" w:ascii="仿宋_GB2312" w:hAnsi="仿宋" w:eastAsia="仿宋_GB2312" w:cs="仿宋"/>
                <w:sz w:val="15"/>
                <w:szCs w:val="15"/>
                <w:lang w:val="en-US" w:eastAsia="zh-CN"/>
              </w:rPr>
              <w:t>人次</w:t>
            </w:r>
            <w:r>
              <w:rPr>
                <w:rFonts w:hint="eastAsia" w:ascii="仿宋_GB2312" w:hAnsi="仿宋" w:eastAsia="仿宋_GB2312" w:cs="仿宋"/>
                <w:sz w:val="15"/>
                <w:szCs w:val="15"/>
                <w:lang w:val="en-US" w:eastAsia="zh-CN"/>
              </w:rPr>
              <w:t>、</w:t>
            </w:r>
            <w:r>
              <w:rPr>
                <w:rFonts w:hint="default" w:ascii="仿宋_GB2312" w:hAnsi="仿宋" w:eastAsia="仿宋_GB2312" w:cs="仿宋"/>
                <w:sz w:val="15"/>
                <w:szCs w:val="15"/>
                <w:lang w:val="en-US" w:eastAsia="zh-CN"/>
              </w:rPr>
              <w:t>用药咨询</w:t>
            </w:r>
            <w:r>
              <w:rPr>
                <w:rFonts w:hint="eastAsia" w:ascii="仿宋_GB2312" w:hAnsi="仿宋" w:eastAsia="仿宋_GB2312" w:cs="仿宋"/>
                <w:sz w:val="15"/>
                <w:szCs w:val="15"/>
                <w:lang w:val="en-US" w:eastAsia="zh-CN"/>
              </w:rPr>
              <w:t>117</w:t>
            </w:r>
            <w:r>
              <w:rPr>
                <w:rFonts w:hint="default" w:ascii="仿宋_GB2312" w:hAnsi="仿宋" w:eastAsia="仿宋_GB2312" w:cs="仿宋"/>
                <w:sz w:val="15"/>
                <w:szCs w:val="15"/>
                <w:lang w:val="en-US" w:eastAsia="zh-CN"/>
              </w:rPr>
              <w:t>人次</w:t>
            </w:r>
            <w:r>
              <w:rPr>
                <w:rFonts w:hint="eastAsia" w:ascii="仿宋_GB2312" w:hAnsi="仿宋" w:eastAsia="仿宋_GB2312" w:cs="仿宋"/>
                <w:sz w:val="15"/>
                <w:szCs w:val="15"/>
                <w:lang w:val="en-US" w:eastAsia="zh-CN"/>
              </w:rPr>
              <w:t>、</w:t>
            </w:r>
            <w:r>
              <w:rPr>
                <w:rFonts w:hint="default" w:ascii="仿宋_GB2312" w:hAnsi="仿宋" w:eastAsia="仿宋_GB2312" w:cs="仿宋"/>
                <w:sz w:val="15"/>
                <w:szCs w:val="15"/>
                <w:lang w:val="en-US" w:eastAsia="zh-CN"/>
              </w:rPr>
              <w:t>问诊开方</w:t>
            </w:r>
            <w:r>
              <w:rPr>
                <w:rFonts w:hint="eastAsia" w:ascii="仿宋_GB2312" w:hAnsi="仿宋" w:eastAsia="仿宋_GB2312" w:cs="仿宋"/>
                <w:sz w:val="15"/>
                <w:szCs w:val="15"/>
                <w:lang w:val="en-US" w:eastAsia="zh-CN"/>
              </w:rPr>
              <w:t>5</w:t>
            </w:r>
            <w:r>
              <w:rPr>
                <w:rFonts w:hint="default" w:ascii="仿宋_GB2312" w:hAnsi="仿宋" w:eastAsia="仿宋_GB2312" w:cs="仿宋"/>
                <w:sz w:val="15"/>
                <w:szCs w:val="15"/>
                <w:lang w:val="en-US" w:eastAsia="zh-CN"/>
              </w:rPr>
              <w:t>07人次；药品线上总销售额</w:t>
            </w:r>
            <w:r>
              <w:rPr>
                <w:rFonts w:hint="eastAsia" w:ascii="仿宋_GB2312" w:hAnsi="仿宋" w:eastAsia="仿宋_GB2312" w:cs="仿宋"/>
                <w:sz w:val="15"/>
                <w:szCs w:val="15"/>
                <w:lang w:val="en-US" w:eastAsia="zh-CN"/>
              </w:rPr>
              <w:t>21.</w:t>
            </w:r>
            <w:r>
              <w:rPr>
                <w:rFonts w:hint="default" w:ascii="仿宋_GB2312" w:hAnsi="仿宋" w:eastAsia="仿宋_GB2312" w:cs="仿宋"/>
                <w:sz w:val="15"/>
                <w:szCs w:val="15"/>
                <w:lang w:val="en-US" w:eastAsia="zh-CN"/>
              </w:rPr>
              <w:t>4</w:t>
            </w:r>
            <w:r>
              <w:rPr>
                <w:rFonts w:hint="eastAsia" w:ascii="仿宋_GB2312" w:hAnsi="仿宋" w:eastAsia="仿宋_GB2312" w:cs="仿宋"/>
                <w:sz w:val="15"/>
                <w:szCs w:val="15"/>
                <w:lang w:val="en-US" w:eastAsia="zh-CN"/>
              </w:rPr>
              <w:t>6万</w:t>
            </w:r>
            <w:r>
              <w:rPr>
                <w:rFonts w:hint="default" w:ascii="仿宋_GB2312" w:hAnsi="仿宋" w:eastAsia="仿宋_GB2312" w:cs="仿宋"/>
                <w:sz w:val="15"/>
                <w:szCs w:val="15"/>
                <w:lang w:val="en-US" w:eastAsia="zh-CN"/>
              </w:rPr>
              <w:t>元。</w:t>
            </w:r>
          </w:p>
          <w:p w14:paraId="2DCE0083">
            <w:pPr>
              <w:pStyle w:val="11"/>
              <w:spacing w:line="580" w:lineRule="exact"/>
              <w:ind w:left="158" w:leftChars="75" w:firstLine="294" w:firstLineChars="196"/>
              <w:rPr>
                <w:rFonts w:hint="eastAsia" w:ascii="仿宋_GB2312" w:hAnsi="仿宋" w:eastAsia="仿宋_GB2312" w:cs="仿宋"/>
                <w:sz w:val="15"/>
                <w:szCs w:val="15"/>
              </w:rPr>
            </w:pPr>
            <w:r>
              <w:rPr>
                <w:rFonts w:hint="eastAsia" w:ascii="仿宋_GB2312" w:hAnsi="仿宋" w:eastAsia="仿宋_GB2312" w:cs="仿宋"/>
                <w:color w:val="000000"/>
                <w:sz w:val="15"/>
                <w:szCs w:val="15"/>
                <w:lang w:val="en-US" w:eastAsia="zh-CN"/>
              </w:rPr>
              <w:t>2.</w:t>
            </w:r>
            <w:r>
              <w:rPr>
                <w:rFonts w:hint="eastAsia" w:ascii="仿宋_GB2312" w:hAnsi="仿宋" w:eastAsia="仿宋_GB2312" w:cs="仿宋"/>
                <w:b/>
                <w:bCs/>
                <w:sz w:val="15"/>
                <w:szCs w:val="15"/>
              </w:rPr>
              <w:t>持续深化“进一步改进医疗服务行动”。</w:t>
            </w:r>
            <w:r>
              <w:rPr>
                <w:rFonts w:hint="eastAsia" w:ascii="仿宋_GB2312" w:hAnsi="仿宋" w:eastAsia="仿宋_GB2312" w:cs="仿宋"/>
                <w:b/>
                <w:sz w:val="15"/>
                <w:szCs w:val="15"/>
              </w:rPr>
              <w:t>一是</w:t>
            </w:r>
            <w:r>
              <w:rPr>
                <w:rFonts w:hint="eastAsia" w:ascii="仿宋_GB2312" w:hAnsi="仿宋" w:eastAsia="仿宋_GB2312" w:cs="仿宋"/>
                <w:sz w:val="15"/>
                <w:szCs w:val="15"/>
              </w:rPr>
              <w:t>46项“进一步改善医疗服务行动”工作任务全面落实落细。</w:t>
            </w:r>
            <w:r>
              <w:rPr>
                <w:rFonts w:hint="eastAsia" w:ascii="仿宋_GB2312" w:hAnsi="仿宋" w:eastAsia="仿宋_GB2312" w:cs="仿宋"/>
                <w:color w:val="2E54A1" w:themeColor="accent1" w:themeShade="BF"/>
                <w:sz w:val="15"/>
                <w:szCs w:val="15"/>
              </w:rPr>
              <w:t>其中门诊志愿服务共提供咨询服务</w:t>
            </w:r>
            <w:r>
              <w:rPr>
                <w:rFonts w:hint="eastAsia" w:ascii="仿宋_GB2312" w:hAnsi="仿宋" w:eastAsia="仿宋_GB2312" w:cs="仿宋"/>
                <w:color w:val="2E54A1" w:themeColor="accent1" w:themeShade="BF"/>
                <w:sz w:val="15"/>
                <w:szCs w:val="15"/>
                <w:lang w:val="en-US" w:eastAsia="zh-CN"/>
              </w:rPr>
              <w:t>4.7</w:t>
            </w:r>
            <w:r>
              <w:rPr>
                <w:rFonts w:hint="eastAsia" w:ascii="仿宋_GB2312" w:hAnsi="仿宋" w:eastAsia="仿宋_GB2312" w:cs="仿宋"/>
                <w:color w:val="2E54A1" w:themeColor="accent1" w:themeShade="BF"/>
                <w:sz w:val="15"/>
                <w:szCs w:val="15"/>
              </w:rPr>
              <w:t>万余人次，协助挂号</w:t>
            </w:r>
            <w:r>
              <w:rPr>
                <w:rFonts w:hint="eastAsia" w:ascii="仿宋_GB2312" w:hAnsi="仿宋" w:eastAsia="仿宋_GB2312" w:cs="仿宋"/>
                <w:color w:val="2E54A1" w:themeColor="accent1" w:themeShade="BF"/>
                <w:sz w:val="15"/>
                <w:szCs w:val="15"/>
                <w:lang w:val="en-US" w:eastAsia="zh-CN"/>
              </w:rPr>
              <w:t>3.7</w:t>
            </w:r>
            <w:r>
              <w:rPr>
                <w:rFonts w:hint="eastAsia" w:ascii="仿宋_GB2312" w:hAnsi="仿宋" w:eastAsia="仿宋_GB2312" w:cs="仿宋"/>
                <w:color w:val="2E54A1" w:themeColor="accent1" w:themeShade="BF"/>
                <w:sz w:val="15"/>
                <w:szCs w:val="15"/>
              </w:rPr>
              <w:t>万余人次，陪诊陪检</w:t>
            </w:r>
            <w:r>
              <w:rPr>
                <w:rFonts w:hint="eastAsia" w:ascii="仿宋_GB2312" w:hAnsi="仿宋" w:eastAsia="仿宋_GB2312" w:cs="仿宋"/>
                <w:color w:val="2E54A1" w:themeColor="accent1" w:themeShade="BF"/>
                <w:sz w:val="15"/>
                <w:szCs w:val="15"/>
                <w:lang w:val="en-US" w:eastAsia="zh-CN"/>
              </w:rPr>
              <w:t>1280</w:t>
            </w:r>
            <w:r>
              <w:rPr>
                <w:rFonts w:hint="eastAsia" w:ascii="仿宋_GB2312" w:hAnsi="仿宋" w:eastAsia="仿宋_GB2312" w:cs="仿宋"/>
                <w:color w:val="2E54A1" w:themeColor="accent1" w:themeShade="BF"/>
                <w:sz w:val="15"/>
                <w:szCs w:val="15"/>
              </w:rPr>
              <w:t>人次，提供其他帮助</w:t>
            </w:r>
            <w:r>
              <w:rPr>
                <w:rFonts w:hint="eastAsia" w:ascii="仿宋_GB2312" w:hAnsi="仿宋" w:eastAsia="仿宋_GB2312" w:cs="仿宋"/>
                <w:color w:val="2E54A1" w:themeColor="accent1" w:themeShade="BF"/>
                <w:sz w:val="15"/>
                <w:szCs w:val="15"/>
                <w:lang w:val="en-US" w:eastAsia="zh-CN"/>
              </w:rPr>
              <w:t>103</w:t>
            </w:r>
            <w:r>
              <w:rPr>
                <w:rFonts w:hint="eastAsia" w:ascii="仿宋_GB2312" w:hAnsi="仿宋" w:eastAsia="仿宋_GB2312" w:cs="仿宋"/>
                <w:color w:val="2E54A1" w:themeColor="accent1" w:themeShade="BF"/>
                <w:sz w:val="15"/>
                <w:szCs w:val="15"/>
              </w:rPr>
              <w:t>00余次，得到患者一致好评</w:t>
            </w:r>
            <w:r>
              <w:rPr>
                <w:rFonts w:hint="eastAsia" w:ascii="仿宋_GB2312" w:hAnsi="仿宋" w:eastAsia="仿宋_GB2312" w:cs="仿宋"/>
                <w:sz w:val="15"/>
                <w:szCs w:val="15"/>
              </w:rPr>
              <w:t>。</w:t>
            </w:r>
            <w:r>
              <w:rPr>
                <w:rFonts w:hint="eastAsia" w:ascii="仿宋_GB2312" w:hAnsi="仿宋" w:eastAsia="仿宋_GB2312" w:cs="仿宋"/>
                <w:b/>
                <w:sz w:val="15"/>
                <w:szCs w:val="15"/>
              </w:rPr>
              <w:t>二是</w:t>
            </w:r>
            <w:r>
              <w:rPr>
                <w:rFonts w:hint="eastAsia" w:ascii="仿宋_GB2312" w:hAnsi="仿宋" w:eastAsia="仿宋_GB2312" w:cs="仿宋"/>
                <w:sz w:val="15"/>
                <w:szCs w:val="15"/>
              </w:rPr>
              <w:t>进一步加强病人回访和满意度调查工作。</w:t>
            </w:r>
            <w:r>
              <w:rPr>
                <w:rFonts w:hint="eastAsia" w:ascii="仿宋_GB2312" w:hAnsi="仿宋" w:eastAsia="仿宋_GB2312" w:cs="仿宋"/>
                <w:sz w:val="15"/>
                <w:szCs w:val="15"/>
                <w:lang w:eastAsia="zh-CN"/>
              </w:rPr>
              <w:t>全年</w:t>
            </w:r>
            <w:r>
              <w:rPr>
                <w:rFonts w:hint="eastAsia" w:ascii="仿宋_GB2312" w:hAnsi="仿宋" w:eastAsia="仿宋_GB2312" w:cs="仿宋"/>
                <w:sz w:val="15"/>
                <w:szCs w:val="15"/>
              </w:rPr>
              <w:t>共回访出院病人</w:t>
            </w:r>
            <w:r>
              <w:rPr>
                <w:rFonts w:hint="eastAsia"/>
                <w:sz w:val="15"/>
                <w:szCs w:val="15"/>
                <w:lang w:val="en-US" w:eastAsia="zh-CN"/>
              </w:rPr>
              <w:t>1.09万余</w:t>
            </w:r>
            <w:r>
              <w:rPr>
                <w:rFonts w:hint="eastAsia" w:ascii="仿宋_GB2312" w:hAnsi="仿宋" w:eastAsia="仿宋_GB2312" w:cs="仿宋"/>
                <w:sz w:val="15"/>
                <w:szCs w:val="15"/>
              </w:rPr>
              <w:t>人次，回访率8</w:t>
            </w:r>
            <w:r>
              <w:rPr>
                <w:rFonts w:hint="eastAsia" w:ascii="仿宋_GB2312" w:hAnsi="仿宋" w:eastAsia="仿宋_GB2312" w:cs="仿宋"/>
                <w:sz w:val="15"/>
                <w:szCs w:val="15"/>
                <w:lang w:val="en-US" w:eastAsia="zh-CN"/>
              </w:rPr>
              <w:t>5</w:t>
            </w:r>
            <w:r>
              <w:rPr>
                <w:rFonts w:hint="eastAsia" w:ascii="仿宋_GB2312" w:hAnsi="仿宋" w:eastAsia="仿宋_GB2312" w:cs="仿宋"/>
                <w:sz w:val="15"/>
                <w:szCs w:val="15"/>
              </w:rPr>
              <w:t>%，复诊率</w:t>
            </w:r>
            <w:r>
              <w:rPr>
                <w:rFonts w:hint="eastAsia" w:ascii="仿宋_GB2312" w:hAnsi="仿宋" w:eastAsia="仿宋_GB2312" w:cs="仿宋"/>
                <w:sz w:val="15"/>
                <w:szCs w:val="15"/>
                <w:lang w:val="en-US" w:eastAsia="zh-CN"/>
              </w:rPr>
              <w:t>77</w:t>
            </w:r>
            <w:r>
              <w:rPr>
                <w:rFonts w:hint="eastAsia" w:ascii="仿宋_GB2312" w:hAnsi="仿宋" w:eastAsia="仿宋_GB2312" w:cs="仿宋"/>
                <w:sz w:val="15"/>
                <w:szCs w:val="15"/>
              </w:rPr>
              <w:t>%，满意率98%。回访门诊病人1200余人次，门诊复诊预约率上升至54.2%；患者对门诊网络评价7543条，满意度9</w:t>
            </w:r>
            <w:r>
              <w:rPr>
                <w:rFonts w:hint="eastAsia" w:ascii="仿宋_GB2312" w:hAnsi="仿宋" w:eastAsia="仿宋_GB2312" w:cs="仿宋"/>
                <w:sz w:val="15"/>
                <w:szCs w:val="15"/>
                <w:lang w:val="en-US" w:eastAsia="zh-CN"/>
              </w:rPr>
              <w:t>1.32</w:t>
            </w:r>
            <w:r>
              <w:rPr>
                <w:rFonts w:hint="eastAsia" w:ascii="仿宋_GB2312" w:hAnsi="仿宋" w:eastAsia="仿宋_GB2312" w:cs="仿宋"/>
                <w:sz w:val="15"/>
                <w:szCs w:val="15"/>
              </w:rPr>
              <w:t>%。开展在床病人满意度调查，采取手机扫码线上满意度问卷调查的形式，对各病区约30%的在床病人进行了问卷调查，广泛征求病人意见和建议，持续改进医疗服务。</w:t>
            </w:r>
          </w:p>
          <w:p w14:paraId="30A7099E">
            <w:pPr>
              <w:ind w:firstLine="260" w:firstLineChars="200"/>
              <w:rPr>
                <w:rFonts w:hint="eastAsia" w:ascii="仿宋_GB2312" w:hAnsi="仿宋" w:eastAsia="仿宋_GB2312" w:cs="仿宋"/>
                <w:kern w:val="2"/>
                <w:sz w:val="13"/>
                <w:szCs w:val="13"/>
                <w:lang w:val="en-US" w:eastAsia="zh-CN" w:bidi="ar-SA"/>
              </w:rPr>
            </w:pPr>
            <w:r>
              <w:rPr>
                <w:rFonts w:hint="eastAsia" w:ascii="仿宋_GB2312" w:hAnsi="仿宋" w:eastAsia="仿宋_GB2312" w:cs="仿宋"/>
                <w:color w:val="000000"/>
                <w:sz w:val="13"/>
                <w:szCs w:val="13"/>
                <w:lang w:val="en-US" w:eastAsia="zh-CN"/>
              </w:rPr>
              <w:t>3.</w:t>
            </w:r>
            <w:r>
              <w:rPr>
                <w:rFonts w:hint="eastAsia" w:ascii="仿宋_GB2312" w:hAnsi="仿宋" w:eastAsia="仿宋_GB2312" w:cs="仿宋"/>
                <w:b/>
                <w:bCs/>
                <w:kern w:val="2"/>
                <w:sz w:val="13"/>
                <w:szCs w:val="13"/>
                <w:lang w:val="en-US" w:eastAsia="zh-CN" w:bidi="ar-SA"/>
              </w:rPr>
              <w:t>多措并举强化门诊服务。</w:t>
            </w:r>
            <w:r>
              <w:rPr>
                <w:rFonts w:hint="eastAsia" w:ascii="仿宋_GB2312" w:hAnsi="仿宋" w:eastAsia="仿宋_GB2312" w:cs="仿宋"/>
                <w:kern w:val="2"/>
                <w:sz w:val="13"/>
                <w:szCs w:val="13"/>
                <w:lang w:val="en-US" w:eastAsia="zh-CN" w:bidi="ar-SA"/>
              </w:rPr>
              <w:t>通过开展“医院是我家，门诊发展我有责”线上建言献策活动，面向全院收集合理化建议261条并逐项落实，全面提升门诊工作水平。推出一系列“强门诊”举措：一是为中午加班看诊的医生送去爱心午餐，解决医生加班就餐的问题，使坐诊医生可以更加专注地为病人服务；二是进一步细化和落实门诊大厅“一站式服务”，大力推行志愿者服务，引导患者就诊，为行动不便的患者提供陪诊等，受到患者一致好评。三是进一步完善门诊服务功能。新增肌骨康复亚专科门诊和心理门诊。推进门诊病历电子化。门诊电子病历使用率提高至77.3%。四是加强门诊业务培训，组织开展了《接诊心理学》《医患沟通》等知识培训30余次，不断提升服务水平。五是大力推广预约诊疗，预约人次同比增加 32.45%，预约率同比增加13.09%。门诊患者网络评价满意度得分91.62。</w:t>
            </w:r>
          </w:p>
          <w:p w14:paraId="5673DB99">
            <w:pPr>
              <w:keepNext w:val="0"/>
              <w:keepLines w:val="0"/>
              <w:pageBreakBefore w:val="0"/>
              <w:numPr>
                <w:ilvl w:val="0"/>
                <w:numId w:val="0"/>
              </w:numPr>
              <w:kinsoku/>
              <w:wordWrap/>
              <w:overflowPunct/>
              <w:topLinePunct w:val="0"/>
              <w:bidi w:val="0"/>
              <w:snapToGrid/>
              <w:spacing w:line="240" w:lineRule="auto"/>
              <w:ind w:leftChars="200"/>
              <w:jc w:val="both"/>
              <w:textAlignment w:val="auto"/>
              <w:rPr>
                <w:rFonts w:hint="default" w:ascii="仿宋" w:hAnsi="仿宋" w:eastAsia="仿宋" w:cs="仿宋"/>
                <w:color w:val="000000"/>
                <w:spacing w:val="0"/>
                <w:sz w:val="21"/>
                <w:szCs w:val="21"/>
                <w:lang w:val="en-US" w:eastAsia="zh-CN"/>
              </w:rPr>
            </w:pPr>
          </w:p>
          <w:p w14:paraId="6E16AE3C">
            <w:pPr>
              <w:autoSpaceDN w:val="0"/>
              <w:spacing w:line="320" w:lineRule="exact"/>
              <w:jc w:val="center"/>
              <w:textAlignment w:val="center"/>
              <w:rPr>
                <w:rFonts w:hint="eastAsia" w:ascii="仿宋_GB2312" w:hAnsi="仿宋" w:eastAsia="仿宋_GB2312" w:cs="仿宋"/>
                <w:szCs w:val="21"/>
              </w:rPr>
            </w:pPr>
          </w:p>
        </w:tc>
      </w:tr>
      <w:tr w14:paraId="5C4CD7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2990" w:type="dxa"/>
            <w:gridSpan w:val="5"/>
            <w:noWrap w:val="0"/>
            <w:vAlign w:val="center"/>
          </w:tcPr>
          <w:p w14:paraId="16615F34">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绩效自评综合得分</w:t>
            </w:r>
          </w:p>
        </w:tc>
        <w:tc>
          <w:tcPr>
            <w:tcW w:w="6810" w:type="dxa"/>
            <w:gridSpan w:val="12"/>
            <w:noWrap w:val="0"/>
            <w:vAlign w:val="center"/>
          </w:tcPr>
          <w:p w14:paraId="19096463">
            <w:pPr>
              <w:autoSpaceDN w:val="0"/>
              <w:spacing w:line="320" w:lineRule="exact"/>
              <w:jc w:val="left"/>
              <w:textAlignment w:val="center"/>
              <w:rPr>
                <w:rFonts w:hint="default" w:ascii="仿宋" w:hAnsi="仿宋" w:eastAsia="仿宋" w:cs="仿宋"/>
                <w:szCs w:val="21"/>
                <w:lang w:val="en-US" w:eastAsia="zh-CN"/>
              </w:rPr>
            </w:pPr>
            <w:r>
              <w:rPr>
                <w:rFonts w:hint="eastAsia" w:ascii="仿宋" w:hAnsi="仿宋" w:eastAsia="仿宋" w:cs="仿宋"/>
                <w:szCs w:val="21"/>
                <w:lang w:val="en-US" w:eastAsia="zh-CN"/>
              </w:rPr>
              <w:t>90</w:t>
            </w:r>
          </w:p>
        </w:tc>
      </w:tr>
      <w:tr w14:paraId="2C7DA3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2990" w:type="dxa"/>
            <w:gridSpan w:val="5"/>
            <w:noWrap w:val="0"/>
            <w:vAlign w:val="center"/>
          </w:tcPr>
          <w:p w14:paraId="144457A2">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评价等次</w:t>
            </w:r>
          </w:p>
        </w:tc>
        <w:tc>
          <w:tcPr>
            <w:tcW w:w="6810" w:type="dxa"/>
            <w:gridSpan w:val="12"/>
            <w:noWrap w:val="0"/>
            <w:vAlign w:val="center"/>
          </w:tcPr>
          <w:p w14:paraId="16C38568">
            <w:pPr>
              <w:autoSpaceDN w:val="0"/>
              <w:spacing w:line="320" w:lineRule="exact"/>
              <w:jc w:val="center"/>
              <w:textAlignment w:val="center"/>
              <w:rPr>
                <w:rFonts w:hint="eastAsia" w:ascii="仿宋_GB2312" w:hAnsi="仿宋_GB2312" w:eastAsia="仿宋_GB2312" w:cs="仿宋_GB2312"/>
                <w:color w:val="000000"/>
                <w:sz w:val="24"/>
              </w:rPr>
            </w:pPr>
          </w:p>
        </w:tc>
      </w:tr>
      <w:tr w14:paraId="04385D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9800" w:type="dxa"/>
            <w:gridSpan w:val="17"/>
            <w:noWrap w:val="0"/>
            <w:vAlign w:val="center"/>
          </w:tcPr>
          <w:p w14:paraId="6A2F4791">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四、评价人员</w:t>
            </w:r>
          </w:p>
        </w:tc>
      </w:tr>
      <w:tr w14:paraId="395374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noWrap w:val="0"/>
            <w:vAlign w:val="center"/>
          </w:tcPr>
          <w:p w14:paraId="0AB6E198">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姓  名</w:t>
            </w:r>
          </w:p>
        </w:tc>
        <w:tc>
          <w:tcPr>
            <w:tcW w:w="3561" w:type="dxa"/>
            <w:gridSpan w:val="7"/>
            <w:noWrap w:val="0"/>
            <w:vAlign w:val="center"/>
          </w:tcPr>
          <w:p w14:paraId="51FCFA8E">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职务/职称</w:t>
            </w:r>
          </w:p>
        </w:tc>
        <w:tc>
          <w:tcPr>
            <w:tcW w:w="1479" w:type="dxa"/>
            <w:noWrap w:val="0"/>
            <w:vAlign w:val="center"/>
          </w:tcPr>
          <w:p w14:paraId="624D89DB">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单  位</w:t>
            </w:r>
          </w:p>
        </w:tc>
        <w:tc>
          <w:tcPr>
            <w:tcW w:w="3106" w:type="dxa"/>
            <w:gridSpan w:val="8"/>
            <w:noWrap w:val="0"/>
            <w:vAlign w:val="center"/>
          </w:tcPr>
          <w:p w14:paraId="39045D64">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签  字</w:t>
            </w:r>
          </w:p>
        </w:tc>
      </w:tr>
      <w:tr w14:paraId="3951F4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noWrap w:val="0"/>
            <w:vAlign w:val="center"/>
          </w:tcPr>
          <w:p w14:paraId="39C220CA">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周仁辉</w:t>
            </w:r>
          </w:p>
        </w:tc>
        <w:tc>
          <w:tcPr>
            <w:tcW w:w="3561" w:type="dxa"/>
            <w:gridSpan w:val="7"/>
            <w:noWrap w:val="0"/>
            <w:vAlign w:val="center"/>
          </w:tcPr>
          <w:p w14:paraId="19AF4E34">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分管财务院长</w:t>
            </w:r>
          </w:p>
        </w:tc>
        <w:tc>
          <w:tcPr>
            <w:tcW w:w="1479" w:type="dxa"/>
            <w:noWrap w:val="0"/>
            <w:vAlign w:val="center"/>
          </w:tcPr>
          <w:p w14:paraId="7C0BA609">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岳阳市人民医院</w:t>
            </w:r>
          </w:p>
        </w:tc>
        <w:tc>
          <w:tcPr>
            <w:tcW w:w="3106" w:type="dxa"/>
            <w:gridSpan w:val="8"/>
            <w:noWrap w:val="0"/>
            <w:vAlign w:val="center"/>
          </w:tcPr>
          <w:p w14:paraId="6483B111">
            <w:pPr>
              <w:autoSpaceDN w:val="0"/>
              <w:spacing w:line="320" w:lineRule="exact"/>
              <w:jc w:val="center"/>
              <w:textAlignment w:val="center"/>
              <w:rPr>
                <w:rFonts w:hint="eastAsia" w:ascii="仿宋_GB2312" w:hAnsi="仿宋_GB2312" w:eastAsia="仿宋_GB2312" w:cs="仿宋_GB2312"/>
                <w:color w:val="000000"/>
                <w:sz w:val="24"/>
              </w:rPr>
            </w:pPr>
          </w:p>
        </w:tc>
      </w:tr>
      <w:tr w14:paraId="262DC6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noWrap w:val="0"/>
            <w:vAlign w:val="center"/>
          </w:tcPr>
          <w:p w14:paraId="59C2F3FA">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顾凯</w:t>
            </w:r>
          </w:p>
        </w:tc>
        <w:tc>
          <w:tcPr>
            <w:tcW w:w="3561" w:type="dxa"/>
            <w:gridSpan w:val="7"/>
            <w:noWrap w:val="0"/>
            <w:vAlign w:val="center"/>
          </w:tcPr>
          <w:p w14:paraId="6D9B5D80">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总会计师</w:t>
            </w:r>
          </w:p>
        </w:tc>
        <w:tc>
          <w:tcPr>
            <w:tcW w:w="1479" w:type="dxa"/>
            <w:noWrap w:val="0"/>
            <w:vAlign w:val="center"/>
          </w:tcPr>
          <w:p w14:paraId="3711BF08">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岳阳市人民医院</w:t>
            </w:r>
          </w:p>
        </w:tc>
        <w:tc>
          <w:tcPr>
            <w:tcW w:w="3106" w:type="dxa"/>
            <w:gridSpan w:val="8"/>
            <w:noWrap w:val="0"/>
            <w:vAlign w:val="center"/>
          </w:tcPr>
          <w:p w14:paraId="55D497B7">
            <w:pPr>
              <w:autoSpaceDN w:val="0"/>
              <w:spacing w:line="320" w:lineRule="exact"/>
              <w:jc w:val="center"/>
              <w:textAlignment w:val="center"/>
              <w:rPr>
                <w:rFonts w:hint="eastAsia" w:ascii="仿宋_GB2312" w:hAnsi="仿宋_GB2312" w:eastAsia="仿宋_GB2312" w:cs="仿宋_GB2312"/>
                <w:color w:val="000000"/>
                <w:sz w:val="24"/>
              </w:rPr>
            </w:pPr>
          </w:p>
        </w:tc>
      </w:tr>
      <w:tr w14:paraId="7F4467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noWrap w:val="0"/>
            <w:vAlign w:val="center"/>
          </w:tcPr>
          <w:p w14:paraId="74A58E7C">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顾凯</w:t>
            </w:r>
          </w:p>
        </w:tc>
        <w:tc>
          <w:tcPr>
            <w:tcW w:w="3561" w:type="dxa"/>
            <w:gridSpan w:val="7"/>
            <w:noWrap w:val="0"/>
            <w:vAlign w:val="center"/>
          </w:tcPr>
          <w:p w14:paraId="045CA98C">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财务科长</w:t>
            </w:r>
          </w:p>
        </w:tc>
        <w:tc>
          <w:tcPr>
            <w:tcW w:w="1479" w:type="dxa"/>
            <w:noWrap w:val="0"/>
            <w:vAlign w:val="center"/>
          </w:tcPr>
          <w:p w14:paraId="629648C4">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岳阳市人民医院</w:t>
            </w:r>
          </w:p>
        </w:tc>
        <w:tc>
          <w:tcPr>
            <w:tcW w:w="3106" w:type="dxa"/>
            <w:gridSpan w:val="8"/>
            <w:noWrap w:val="0"/>
            <w:vAlign w:val="center"/>
          </w:tcPr>
          <w:p w14:paraId="797871BB">
            <w:pPr>
              <w:autoSpaceDN w:val="0"/>
              <w:spacing w:line="320" w:lineRule="exact"/>
              <w:jc w:val="center"/>
              <w:textAlignment w:val="center"/>
              <w:rPr>
                <w:rFonts w:hint="eastAsia" w:ascii="仿宋_GB2312" w:hAnsi="仿宋_GB2312" w:eastAsia="仿宋_GB2312" w:cs="仿宋_GB2312"/>
                <w:color w:val="000000"/>
                <w:sz w:val="24"/>
              </w:rPr>
            </w:pPr>
          </w:p>
        </w:tc>
      </w:tr>
      <w:tr w14:paraId="5B61E9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noWrap w:val="0"/>
            <w:vAlign w:val="center"/>
          </w:tcPr>
          <w:p w14:paraId="5396FDB6">
            <w:pPr>
              <w:autoSpaceDN w:val="0"/>
              <w:spacing w:line="320" w:lineRule="exact"/>
              <w:jc w:val="center"/>
              <w:textAlignment w:val="center"/>
              <w:rPr>
                <w:rFonts w:hint="eastAsia" w:ascii="仿宋_GB2312" w:hAnsi="仿宋_GB2312" w:eastAsia="仿宋_GB2312" w:cs="仿宋_GB2312"/>
                <w:color w:val="000000"/>
                <w:sz w:val="24"/>
              </w:rPr>
            </w:pPr>
          </w:p>
        </w:tc>
        <w:tc>
          <w:tcPr>
            <w:tcW w:w="3561" w:type="dxa"/>
            <w:gridSpan w:val="7"/>
            <w:noWrap w:val="0"/>
            <w:vAlign w:val="center"/>
          </w:tcPr>
          <w:p w14:paraId="4F8F1BF8">
            <w:pPr>
              <w:autoSpaceDN w:val="0"/>
              <w:spacing w:line="320" w:lineRule="exact"/>
              <w:jc w:val="center"/>
              <w:textAlignment w:val="center"/>
              <w:rPr>
                <w:rFonts w:hint="eastAsia" w:ascii="仿宋_GB2312" w:hAnsi="仿宋_GB2312" w:eastAsia="仿宋_GB2312" w:cs="仿宋_GB2312"/>
                <w:color w:val="000000"/>
                <w:sz w:val="24"/>
              </w:rPr>
            </w:pPr>
          </w:p>
        </w:tc>
        <w:tc>
          <w:tcPr>
            <w:tcW w:w="1479" w:type="dxa"/>
            <w:noWrap w:val="0"/>
            <w:vAlign w:val="center"/>
          </w:tcPr>
          <w:p w14:paraId="3FCD0DCF">
            <w:pPr>
              <w:autoSpaceDN w:val="0"/>
              <w:spacing w:line="320" w:lineRule="exact"/>
              <w:jc w:val="center"/>
              <w:textAlignment w:val="center"/>
              <w:rPr>
                <w:rFonts w:hint="eastAsia" w:ascii="仿宋_GB2312" w:hAnsi="仿宋_GB2312" w:eastAsia="仿宋_GB2312" w:cs="仿宋_GB2312"/>
                <w:color w:val="000000"/>
                <w:sz w:val="24"/>
              </w:rPr>
            </w:pPr>
          </w:p>
        </w:tc>
        <w:tc>
          <w:tcPr>
            <w:tcW w:w="3106" w:type="dxa"/>
            <w:gridSpan w:val="8"/>
            <w:noWrap w:val="0"/>
            <w:vAlign w:val="center"/>
          </w:tcPr>
          <w:p w14:paraId="61B52C2F">
            <w:pPr>
              <w:autoSpaceDN w:val="0"/>
              <w:spacing w:line="320" w:lineRule="exact"/>
              <w:jc w:val="center"/>
              <w:textAlignment w:val="center"/>
              <w:rPr>
                <w:rFonts w:hint="eastAsia" w:ascii="仿宋_GB2312" w:hAnsi="仿宋_GB2312" w:eastAsia="仿宋_GB2312" w:cs="仿宋_GB2312"/>
                <w:color w:val="000000"/>
                <w:sz w:val="24"/>
              </w:rPr>
            </w:pPr>
          </w:p>
        </w:tc>
      </w:tr>
      <w:tr w14:paraId="0FE508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722" w:hRule="atLeast"/>
          <w:jc w:val="center"/>
        </w:trPr>
        <w:tc>
          <w:tcPr>
            <w:tcW w:w="9800" w:type="dxa"/>
            <w:gridSpan w:val="17"/>
            <w:noWrap w:val="0"/>
            <w:vAlign w:val="center"/>
          </w:tcPr>
          <w:p w14:paraId="704314CC">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评价组组长（签字）：</w:t>
            </w:r>
          </w:p>
          <w:p w14:paraId="414D84AF">
            <w:pPr>
              <w:autoSpaceDN w:val="0"/>
              <w:spacing w:line="320" w:lineRule="exact"/>
              <w:jc w:val="left"/>
              <w:textAlignment w:val="center"/>
              <w:rPr>
                <w:rFonts w:hint="eastAsia" w:ascii="仿宋_GB2312" w:hAnsi="仿宋_GB2312" w:eastAsia="仿宋_GB2312" w:cs="仿宋_GB2312"/>
                <w:color w:val="000000"/>
                <w:sz w:val="24"/>
              </w:rPr>
            </w:pPr>
          </w:p>
          <w:p w14:paraId="379AEF12">
            <w:pPr>
              <w:autoSpaceDN w:val="0"/>
              <w:spacing w:line="320" w:lineRule="exact"/>
              <w:jc w:val="left"/>
              <w:textAlignment w:val="center"/>
              <w:rPr>
                <w:rFonts w:hint="eastAsia" w:ascii="仿宋_GB2312" w:hAnsi="仿宋_GB2312" w:eastAsia="仿宋_GB2312" w:cs="仿宋_GB2312"/>
                <w:color w:val="000000"/>
                <w:sz w:val="24"/>
              </w:rPr>
            </w:pPr>
          </w:p>
          <w:p w14:paraId="0C1FAC6B">
            <w:pPr>
              <w:autoSpaceDN w:val="0"/>
              <w:spacing w:line="320" w:lineRule="exact"/>
              <w:jc w:val="left"/>
              <w:textAlignment w:val="center"/>
              <w:rPr>
                <w:rFonts w:hint="eastAsia" w:ascii="仿宋_GB2312" w:hAnsi="仿宋_GB2312" w:eastAsia="仿宋_GB2312" w:cs="仿宋_GB2312"/>
                <w:color w:val="000000"/>
                <w:sz w:val="24"/>
              </w:rPr>
            </w:pPr>
          </w:p>
          <w:p w14:paraId="24579CF6">
            <w:pPr>
              <w:autoSpaceDN w:val="0"/>
              <w:spacing w:line="320" w:lineRule="exact"/>
              <w:jc w:val="left"/>
              <w:textAlignment w:val="center"/>
              <w:rPr>
                <w:rFonts w:hint="eastAsia" w:ascii="仿宋_GB2312" w:hAnsi="仿宋_GB2312" w:eastAsia="仿宋_GB2312" w:cs="仿宋_GB2312"/>
                <w:color w:val="000000"/>
                <w:sz w:val="24"/>
              </w:rPr>
            </w:pPr>
          </w:p>
          <w:p w14:paraId="2956889D">
            <w:pPr>
              <w:autoSpaceDN w:val="0"/>
              <w:spacing w:line="320" w:lineRule="exact"/>
              <w:jc w:val="left"/>
              <w:textAlignment w:val="center"/>
              <w:rPr>
                <w:rFonts w:hint="eastAsia" w:ascii="仿宋_GB2312" w:hAnsi="仿宋_GB2312" w:eastAsia="仿宋_GB2312" w:cs="仿宋_GB2312"/>
                <w:color w:val="000000"/>
                <w:sz w:val="24"/>
              </w:rPr>
            </w:pPr>
          </w:p>
          <w:p w14:paraId="4E5D2759">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年    月    日</w:t>
            </w:r>
          </w:p>
        </w:tc>
      </w:tr>
      <w:tr w14:paraId="385B73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722" w:hRule="atLeast"/>
          <w:jc w:val="center"/>
        </w:trPr>
        <w:tc>
          <w:tcPr>
            <w:tcW w:w="9800" w:type="dxa"/>
            <w:gridSpan w:val="17"/>
            <w:noWrap w:val="0"/>
            <w:vAlign w:val="center"/>
          </w:tcPr>
          <w:p w14:paraId="7C523A7C">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部门（单位）意见：</w:t>
            </w:r>
          </w:p>
          <w:p w14:paraId="5160935E">
            <w:pPr>
              <w:autoSpaceDN w:val="0"/>
              <w:spacing w:line="320" w:lineRule="exact"/>
              <w:jc w:val="left"/>
              <w:textAlignment w:val="center"/>
              <w:rPr>
                <w:rFonts w:hint="eastAsia" w:ascii="仿宋_GB2312" w:hAnsi="仿宋_GB2312" w:eastAsia="仿宋_GB2312" w:cs="仿宋_GB2312"/>
                <w:color w:val="000000"/>
                <w:sz w:val="24"/>
              </w:rPr>
            </w:pPr>
          </w:p>
          <w:p w14:paraId="4D3F6432">
            <w:pPr>
              <w:autoSpaceDN w:val="0"/>
              <w:spacing w:line="320" w:lineRule="exact"/>
              <w:jc w:val="left"/>
              <w:textAlignment w:val="center"/>
              <w:rPr>
                <w:rFonts w:hint="eastAsia" w:ascii="仿宋_GB2312" w:hAnsi="仿宋_GB2312" w:eastAsia="仿宋_GB2312" w:cs="仿宋_GB2312"/>
                <w:color w:val="000000"/>
                <w:sz w:val="24"/>
              </w:rPr>
            </w:pPr>
          </w:p>
          <w:p w14:paraId="2ECCFE56">
            <w:pPr>
              <w:autoSpaceDN w:val="0"/>
              <w:spacing w:line="320" w:lineRule="exact"/>
              <w:jc w:val="left"/>
              <w:textAlignment w:val="center"/>
              <w:rPr>
                <w:rFonts w:hint="eastAsia" w:ascii="仿宋_GB2312" w:hAnsi="仿宋_GB2312" w:eastAsia="仿宋_GB2312" w:cs="仿宋_GB2312"/>
                <w:color w:val="000000"/>
                <w:sz w:val="24"/>
              </w:rPr>
            </w:pPr>
          </w:p>
          <w:p w14:paraId="0E59A4BF">
            <w:pPr>
              <w:autoSpaceDN w:val="0"/>
              <w:spacing w:line="320" w:lineRule="exact"/>
              <w:jc w:val="left"/>
              <w:textAlignment w:val="center"/>
              <w:rPr>
                <w:rFonts w:hint="eastAsia" w:ascii="仿宋_GB2312" w:hAnsi="仿宋_GB2312" w:eastAsia="仿宋_GB2312" w:cs="仿宋_GB2312"/>
                <w:color w:val="000000"/>
                <w:sz w:val="24"/>
              </w:rPr>
            </w:pPr>
          </w:p>
          <w:p w14:paraId="471F028B">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部门（单位）负责人（签章）：</w:t>
            </w:r>
          </w:p>
          <w:p w14:paraId="19DAC513">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年    月    日</w:t>
            </w:r>
          </w:p>
        </w:tc>
      </w:tr>
      <w:tr w14:paraId="6E8F97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794" w:hRule="atLeast"/>
          <w:jc w:val="center"/>
        </w:trPr>
        <w:tc>
          <w:tcPr>
            <w:tcW w:w="9800" w:type="dxa"/>
            <w:gridSpan w:val="17"/>
            <w:noWrap w:val="0"/>
            <w:vAlign w:val="center"/>
          </w:tcPr>
          <w:p w14:paraId="2FCD6E9A">
            <w:pPr>
              <w:spacing w:line="320" w:lineRule="exact"/>
              <w:rPr>
                <w:rFonts w:hint="eastAsia" w:eastAsia="仿宋_GB2312"/>
                <w:sz w:val="24"/>
              </w:rPr>
            </w:pPr>
            <w:r>
              <w:rPr>
                <w:rFonts w:hint="eastAsia" w:eastAsia="仿宋_GB2312"/>
                <w:sz w:val="24"/>
              </w:rPr>
              <w:t>财政部门归口业务科室意见：</w:t>
            </w:r>
          </w:p>
          <w:p w14:paraId="63ABA0D1">
            <w:pPr>
              <w:spacing w:line="320" w:lineRule="exact"/>
              <w:rPr>
                <w:rFonts w:hint="eastAsia" w:eastAsia="仿宋_GB2312"/>
                <w:sz w:val="24"/>
              </w:rPr>
            </w:pPr>
          </w:p>
          <w:p w14:paraId="05B11F70">
            <w:pPr>
              <w:spacing w:line="320" w:lineRule="exact"/>
              <w:rPr>
                <w:rFonts w:hint="eastAsia" w:eastAsia="仿宋_GB2312"/>
                <w:sz w:val="24"/>
              </w:rPr>
            </w:pPr>
          </w:p>
          <w:p w14:paraId="02C0E065">
            <w:pPr>
              <w:spacing w:line="320" w:lineRule="exact"/>
              <w:rPr>
                <w:rFonts w:hint="eastAsia" w:eastAsia="仿宋_GB2312"/>
                <w:sz w:val="24"/>
              </w:rPr>
            </w:pPr>
          </w:p>
          <w:p w14:paraId="69AA2D8F">
            <w:pPr>
              <w:spacing w:line="320" w:lineRule="exact"/>
              <w:rPr>
                <w:rFonts w:hint="eastAsia" w:eastAsia="仿宋_GB2312"/>
                <w:sz w:val="24"/>
              </w:rPr>
            </w:pPr>
          </w:p>
          <w:p w14:paraId="512D4D5C">
            <w:pPr>
              <w:spacing w:line="320" w:lineRule="exact"/>
              <w:rPr>
                <w:rFonts w:hint="eastAsia" w:eastAsia="仿宋_GB2312"/>
                <w:sz w:val="24"/>
              </w:rPr>
            </w:pPr>
            <w:r>
              <w:rPr>
                <w:rFonts w:hint="eastAsia" w:eastAsia="仿宋_GB2312"/>
                <w:sz w:val="24"/>
              </w:rPr>
              <w:t xml:space="preserve">                                  财政部门归口业务科室负责人（签章）：</w:t>
            </w:r>
          </w:p>
          <w:p w14:paraId="10C65E67">
            <w:pPr>
              <w:autoSpaceDN w:val="0"/>
              <w:spacing w:line="320" w:lineRule="exact"/>
              <w:jc w:val="left"/>
              <w:textAlignment w:val="center"/>
              <w:rPr>
                <w:rFonts w:hint="eastAsia" w:ascii="仿宋_GB2312" w:hAnsi="仿宋_GB2312" w:eastAsia="仿宋_GB2312" w:cs="仿宋_GB2312"/>
                <w:color w:val="000000"/>
                <w:sz w:val="24"/>
              </w:rPr>
            </w:pPr>
            <w:r>
              <w:rPr>
                <w:rFonts w:hint="eastAsia" w:eastAsia="仿宋_GB2312"/>
                <w:sz w:val="24"/>
              </w:rPr>
              <w:t xml:space="preserve">                                                                 年    月   日</w:t>
            </w:r>
          </w:p>
        </w:tc>
      </w:tr>
    </w:tbl>
    <w:p w14:paraId="6A019109">
      <w:pPr>
        <w:rPr>
          <w:rFonts w:hint="default" w:eastAsia="仿宋_GB2312" w:cs="仿宋_GB2312"/>
          <w:bCs/>
          <w:sz w:val="28"/>
          <w:szCs w:val="28"/>
          <w:lang w:val="en-US" w:eastAsia="zh-CN"/>
        </w:rPr>
      </w:pPr>
      <w:r>
        <w:rPr>
          <w:rFonts w:hint="eastAsia" w:eastAsia="仿宋_GB2312" w:cs="仿宋_GB2312"/>
          <w:bCs/>
          <w:sz w:val="28"/>
          <w:szCs w:val="28"/>
        </w:rPr>
        <w:t>填报人（签名）：                         联系电话：</w:t>
      </w:r>
      <w:r>
        <w:rPr>
          <w:rFonts w:hint="eastAsia" w:eastAsia="仿宋_GB2312" w:cs="仿宋_GB2312"/>
          <w:bCs/>
          <w:sz w:val="28"/>
          <w:szCs w:val="28"/>
          <w:lang w:val="en-US" w:eastAsia="zh-CN"/>
        </w:rPr>
        <w:t>13117508216</w:t>
      </w:r>
    </w:p>
    <w:tbl>
      <w:tblPr>
        <w:tblStyle w:val="9"/>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8"/>
      </w:tblGrid>
      <w:tr w14:paraId="5C15E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8" w:hRule="atLeast"/>
          <w:jc w:val="center"/>
        </w:trPr>
        <w:tc>
          <w:tcPr>
            <w:tcW w:w="9558" w:type="dxa"/>
            <w:noWrap w:val="0"/>
            <w:vAlign w:val="top"/>
          </w:tcPr>
          <w:p w14:paraId="060574AE">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五、评价报告综述（文字部分）</w:t>
            </w:r>
          </w:p>
          <w:p w14:paraId="2E1F0557">
            <w:pPr>
              <w:spacing w:line="560" w:lineRule="exact"/>
              <w:ind w:firstLine="560" w:firstLineChars="200"/>
              <w:rPr>
                <w:rFonts w:hint="eastAsia" w:ascii="仿宋_GB2312" w:hAnsi="仿宋_GB2312" w:eastAsia="仿宋_GB2312" w:cs="仿宋_GB2312"/>
                <w:bCs/>
                <w:sz w:val="28"/>
                <w:szCs w:val="28"/>
              </w:rPr>
            </w:pPr>
          </w:p>
          <w:p w14:paraId="021AC5FE">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一、部门（单位）概况</w:t>
            </w:r>
          </w:p>
          <w:p w14:paraId="5794A5EC">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岳阳市二人民医院始建于1902年，原名“普济医院”，是岳阳市西医的最早发源地。现为集医疗、教学、科研、预防、保健、康复为一体的国家三级甲等综合医院,是“国家211重点大学湖南师范大学附属岳阳医院”“全国百姓放心百佳示范医院”“全国三好一满意示范医院”“中国医疗机构公信力示范单位”、国家药物临床试验机构和国家医疗器械临床试验机构。</w:t>
            </w:r>
          </w:p>
          <w:p w14:paraId="6FD7A1AB">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医院分新老两个院区，共占地145亩。其中新院区位于八字门，占地108亩，建筑面积约11万平方米；老院区现更名为普济颐养中心。目前，医院实际开放床位1500张，设职能科室31个，临床、医技科室52个。拥有4个省级临床重点专科、7个市级临床重点专科，20个市级专业委员会和13个市级专业质量控制中心依托医院设立。拥有全省第四台、岳阳首台PET-CT、3.0核磁、64排128层CT、电子直线加速器、数字减影血管成像系统（DSA）、海扶刀等先进设备。</w:t>
            </w:r>
          </w:p>
          <w:p w14:paraId="26922ED2">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医院现有在职职工</w:t>
            </w:r>
            <w:r>
              <w:rPr>
                <w:rFonts w:hint="eastAsia" w:ascii="仿宋_GB2312" w:hAnsi="仿宋_GB2312" w:eastAsia="仿宋_GB2312" w:cs="仿宋_GB2312"/>
                <w:bCs/>
                <w:sz w:val="28"/>
                <w:szCs w:val="28"/>
                <w:lang w:val="en-US" w:eastAsia="zh-CN"/>
              </w:rPr>
              <w:t>1869</w:t>
            </w:r>
            <w:r>
              <w:rPr>
                <w:rFonts w:hint="eastAsia" w:ascii="仿宋_GB2312" w:hAnsi="仿宋_GB2312" w:eastAsia="仿宋_GB2312" w:cs="仿宋_GB2312"/>
                <w:bCs/>
                <w:sz w:val="28"/>
                <w:szCs w:val="28"/>
              </w:rPr>
              <w:t>人，高级职称</w:t>
            </w:r>
            <w:r>
              <w:rPr>
                <w:rFonts w:hint="eastAsia" w:ascii="仿宋_GB2312" w:hAnsi="仿宋_GB2312" w:eastAsia="仿宋_GB2312" w:cs="仿宋_GB2312"/>
                <w:bCs/>
                <w:sz w:val="28"/>
                <w:szCs w:val="28"/>
                <w:lang w:val="en-US" w:eastAsia="zh-CN"/>
              </w:rPr>
              <w:t>373</w:t>
            </w:r>
            <w:r>
              <w:rPr>
                <w:rFonts w:hint="eastAsia" w:ascii="仿宋_GB2312" w:hAnsi="仿宋_GB2312" w:eastAsia="仿宋_GB2312" w:cs="仿宋_GB2312"/>
                <w:bCs/>
                <w:sz w:val="28"/>
                <w:szCs w:val="28"/>
              </w:rPr>
              <w:t>人，硕士生导师21人，硕士以上学历近</w:t>
            </w:r>
            <w:r>
              <w:rPr>
                <w:rFonts w:hint="eastAsia" w:ascii="仿宋_GB2312" w:hAnsi="仿宋_GB2312" w:eastAsia="仿宋_GB2312" w:cs="仿宋_GB2312"/>
                <w:bCs/>
                <w:sz w:val="28"/>
                <w:szCs w:val="28"/>
                <w:lang w:val="en-US" w:eastAsia="zh-CN"/>
              </w:rPr>
              <w:t>230</w:t>
            </w:r>
            <w:r>
              <w:rPr>
                <w:rFonts w:hint="eastAsia" w:ascii="仿宋_GB2312" w:hAnsi="仿宋_GB2312" w:eastAsia="仿宋_GB2312" w:cs="仿宋_GB2312"/>
                <w:bCs/>
                <w:sz w:val="28"/>
                <w:szCs w:val="28"/>
              </w:rPr>
              <w:t>人。是湖南师范大学硕士研究生学位授权点和南华大学硕士研究生联合培养学位授权点，同时承担10余所医学院校学生的临床教学工作。</w:t>
            </w:r>
          </w:p>
          <w:p w14:paraId="32710CFE">
            <w:pPr>
              <w:spacing w:line="560" w:lineRule="exact"/>
              <w:ind w:firstLine="560" w:firstLineChars="200"/>
              <w:rPr>
                <w:rFonts w:hint="eastAsia" w:ascii="仿宋_GB2312" w:hAnsi="仿宋_GB2312" w:eastAsia="仿宋_GB2312" w:cs="仿宋_GB2312"/>
                <w:bCs/>
                <w:sz w:val="28"/>
                <w:szCs w:val="28"/>
              </w:rPr>
            </w:pPr>
          </w:p>
          <w:p w14:paraId="0D643EC4">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二、部门（单位）整体支出管理及使用情况</w:t>
            </w:r>
          </w:p>
          <w:p w14:paraId="72ECA661">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（一）基本支出</w:t>
            </w:r>
          </w:p>
          <w:p w14:paraId="4E120A6D">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2024</w:t>
            </w:r>
            <w:r>
              <w:rPr>
                <w:rFonts w:hint="eastAsia" w:ascii="仿宋_GB2312" w:hAnsi="仿宋_GB2312" w:eastAsia="仿宋_GB2312" w:cs="仿宋_GB2312"/>
                <w:bCs/>
                <w:sz w:val="28"/>
                <w:szCs w:val="28"/>
              </w:rPr>
              <w:t>年岳阳市二人医院基本支出</w:t>
            </w:r>
            <w:r>
              <w:rPr>
                <w:rFonts w:hint="eastAsia" w:ascii="仿宋_GB2312" w:hAnsi="仿宋_GB2312" w:eastAsia="仿宋_GB2312" w:cs="仿宋_GB2312"/>
                <w:color w:val="000000"/>
                <w:sz w:val="24"/>
                <w:lang w:val="en-US" w:eastAsia="zh-CN"/>
              </w:rPr>
              <w:t>92579.52</w:t>
            </w:r>
            <w:r>
              <w:rPr>
                <w:rFonts w:hint="eastAsia" w:ascii="仿宋_GB2312" w:hAnsi="仿宋_GB2312" w:eastAsia="仿宋_GB2312" w:cs="仿宋_GB2312"/>
                <w:bCs/>
                <w:sz w:val="28"/>
                <w:szCs w:val="28"/>
              </w:rPr>
              <w:t>万元（含财政经常性补助支出175万），主要用于人员工资、津补贴、社会保障缴费等人员经费，药品、卫生材料开支，水电、差旅、培训、维修、物业、利息等日常开支。</w:t>
            </w:r>
          </w:p>
          <w:p w14:paraId="2539DF19">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（二）专项支出</w:t>
            </w:r>
          </w:p>
          <w:p w14:paraId="0BDEFFCB">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1、专项资金安排落实、总投入等情况分析</w:t>
            </w:r>
          </w:p>
          <w:p w14:paraId="0CC6DF9B">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2024</w:t>
            </w:r>
            <w:r>
              <w:rPr>
                <w:rFonts w:hint="eastAsia" w:ascii="仿宋_GB2312" w:hAnsi="仿宋_GB2312" w:eastAsia="仿宋_GB2312" w:cs="仿宋_GB2312"/>
                <w:bCs/>
                <w:sz w:val="28"/>
                <w:szCs w:val="28"/>
              </w:rPr>
              <w:t>年财政拨付专项资金</w:t>
            </w:r>
            <w:r>
              <w:rPr>
                <w:rFonts w:hint="eastAsia" w:ascii="仿宋_GB2312" w:hAnsi="仿宋_GB2312" w:eastAsia="仿宋_GB2312" w:cs="仿宋_GB2312"/>
                <w:bCs/>
                <w:sz w:val="28"/>
                <w:szCs w:val="28"/>
                <w:lang w:val="en-US" w:eastAsia="zh-CN"/>
              </w:rPr>
              <w:t>888.87</w:t>
            </w:r>
            <w:r>
              <w:rPr>
                <w:rFonts w:hint="eastAsia" w:ascii="仿宋_GB2312" w:hAnsi="仿宋_GB2312" w:eastAsia="仿宋_GB2312" w:cs="仿宋_GB2312"/>
                <w:bCs/>
                <w:sz w:val="28"/>
                <w:szCs w:val="28"/>
              </w:rPr>
              <w:t>万，主要项目内容有公立医院综合改革、中央补助医疗服务能力建设、住院医生规范化培训、疾病应急救助</w:t>
            </w:r>
            <w:r>
              <w:rPr>
                <w:rFonts w:hint="eastAsia" w:ascii="仿宋_GB2312" w:hAnsi="仿宋_GB2312" w:eastAsia="仿宋_GB2312" w:cs="仿宋_GB2312"/>
                <w:bCs/>
                <w:sz w:val="28"/>
                <w:szCs w:val="28"/>
                <w:lang w:eastAsia="zh-CN"/>
              </w:rPr>
              <w:t>、公共卫生体系防控救治建设资金</w:t>
            </w:r>
            <w:r>
              <w:rPr>
                <w:rFonts w:hint="eastAsia" w:ascii="仿宋_GB2312" w:hAnsi="仿宋_GB2312" w:eastAsia="仿宋_GB2312" w:cs="仿宋_GB2312"/>
                <w:bCs/>
                <w:sz w:val="28"/>
                <w:szCs w:val="28"/>
              </w:rPr>
              <w:t>等。</w:t>
            </w:r>
          </w:p>
          <w:p w14:paraId="23E61F92">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2、专项资金实际使用情况分析</w:t>
            </w:r>
          </w:p>
          <w:p w14:paraId="39028013">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2024</w:t>
            </w:r>
            <w:r>
              <w:rPr>
                <w:rFonts w:hint="eastAsia" w:ascii="仿宋_GB2312" w:hAnsi="仿宋_GB2312" w:eastAsia="仿宋_GB2312" w:cs="仿宋_GB2312"/>
                <w:bCs/>
                <w:sz w:val="28"/>
                <w:szCs w:val="28"/>
              </w:rPr>
              <w:t>年项目支出共计</w:t>
            </w:r>
            <w:r>
              <w:rPr>
                <w:rFonts w:hint="eastAsia" w:ascii="仿宋_GB2312" w:hAnsi="仿宋_GB2312" w:eastAsia="仿宋_GB2312" w:cs="仿宋_GB2312"/>
                <w:bCs/>
                <w:sz w:val="28"/>
                <w:szCs w:val="28"/>
                <w:lang w:val="en-US" w:eastAsia="zh-CN"/>
              </w:rPr>
              <w:t>888.87</w:t>
            </w:r>
            <w:r>
              <w:rPr>
                <w:rFonts w:hint="eastAsia" w:ascii="仿宋_GB2312" w:hAnsi="仿宋_GB2312" w:eastAsia="仿宋_GB2312" w:cs="仿宋_GB2312"/>
                <w:bCs/>
                <w:sz w:val="28"/>
                <w:szCs w:val="28"/>
              </w:rPr>
              <w:t>万。主要用于医生规范化培训、疾病应急救助</w:t>
            </w:r>
            <w:r>
              <w:rPr>
                <w:rFonts w:hint="eastAsia" w:ascii="仿宋_GB2312" w:hAnsi="仿宋_GB2312" w:eastAsia="仿宋_GB2312" w:cs="仿宋_GB2312"/>
                <w:bCs/>
                <w:sz w:val="28"/>
                <w:szCs w:val="28"/>
                <w:lang w:eastAsia="zh-CN"/>
              </w:rPr>
              <w:t>、公共卫生</w:t>
            </w:r>
            <w:r>
              <w:rPr>
                <w:rFonts w:hint="eastAsia" w:ascii="仿宋_GB2312" w:hAnsi="仿宋_GB2312" w:eastAsia="仿宋_GB2312" w:cs="仿宋_GB2312"/>
                <w:bCs/>
                <w:sz w:val="28"/>
                <w:szCs w:val="28"/>
              </w:rPr>
              <w:t xml:space="preserve">等。 </w:t>
            </w:r>
          </w:p>
          <w:p w14:paraId="1DA0D9A4">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3、专项资金管理情况分析</w:t>
            </w:r>
          </w:p>
          <w:p w14:paraId="132D2A28">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医院制定《医院财政项目资金管理办法》并严格执行, 专项资金一律实行专款专用，认真履行资金拨、付的各项审核程序，无挪用、挤占、滞留等违规现象。</w:t>
            </w:r>
          </w:p>
          <w:p w14:paraId="5C5B808C">
            <w:pPr>
              <w:spacing w:line="560" w:lineRule="exact"/>
              <w:ind w:firstLine="560" w:firstLineChars="200"/>
              <w:rPr>
                <w:rFonts w:hint="eastAsia" w:ascii="仿宋_GB2312" w:hAnsi="仿宋_GB2312" w:eastAsia="仿宋_GB2312" w:cs="仿宋_GB2312"/>
                <w:bCs/>
                <w:sz w:val="28"/>
                <w:szCs w:val="28"/>
              </w:rPr>
            </w:pPr>
          </w:p>
          <w:p w14:paraId="77748B3B">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三、部门（单位）整体支出绩效情况</w:t>
            </w:r>
          </w:p>
          <w:p w14:paraId="5E31D026">
            <w:pPr>
              <w:pStyle w:val="7"/>
              <w:widowControl/>
              <w:numPr>
                <w:ilvl w:val="0"/>
                <w:numId w:val="4"/>
              </w:numPr>
              <w:spacing w:before="156" w:beforeLines="50" w:beforeAutospacing="0" w:after="156" w:afterLines="50" w:afterAutospacing="0" w:line="560" w:lineRule="exact"/>
              <w:ind w:hanging="707"/>
              <w:jc w:val="both"/>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医疗质量持续提升</w:t>
            </w:r>
          </w:p>
          <w:p w14:paraId="774722BD">
            <w:pPr>
              <w:pStyle w:val="5"/>
              <w:spacing w:line="58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1）.大力推进临床重点学科建设。院长亲自主导，成立学科办，制定医院学科发展纲要，多次组织召开重点专科建设评估汇报会、重点学科建设研讨推进会，进一步强化学科建设顶层设计，凝聚全院学科建设合力。对照国家和省级重点专科建设标准，细化工作目标和职责分工，明确工作任务与时间表，强化工作督导与绩效考核，推进学科建设迈上新台阶。</w:t>
            </w:r>
          </w:p>
          <w:p w14:paraId="0B317816">
            <w:pPr>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2）.扎实开展“全面提升医疗质量三年行动”。一是成立工作专班，明确年度工作主题，每月召开专门会议推进工作。二是成立质控中心管理委员会，制定相关工作方案，新增麻醉、VTE规范化防治、妇科内镜等3个市级质控中心，予以17个挂靠医院的质控中心每年各8万元工作经费，面向全市开展规范化培训13场次，切实推动区域医疗协同发展。三是制定《病历内涵质量提升三年行动实施方案》，定期开展死亡病历质控、优秀病历评选，7份病案获“市级十佳病案”，4份病案获“市级优秀病案”1份病案获省级“百佳病案”。四是院级专家指导科室开展死亡病例讨论，每月形成死亡病例质控总结，全院通报警示，持续改进。医院被省卫健委确定为全省公立医院高质量发展示范性医院建设单位。</w:t>
            </w:r>
          </w:p>
          <w:p w14:paraId="44C129B2">
            <w:pPr>
              <w:spacing w:line="360" w:lineRule="auto"/>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3）.全面开展手术精益管理年活动。围绕《2024年国家医疗质量安全改进目标》，扎实推进手术质量安全提升行动，进一步完善手术相关管理制度，规范手术授权，定期开展手术质量安全督导。制定急诊手术绿色通道管理流程，明确各科室职责，做到责权明晰，诊疗规范。成功举办医院第一届规范化手术病例大赛，38位选手同台竞技，在全院掀起以赛促进、全面提升手术质量的热潮。全院开展手术规范化演示6场，开展临床新技术项目57项，3项新技术荣获市级“十大新技术奖”。</w:t>
            </w:r>
          </w:p>
          <w:p w14:paraId="481CC779">
            <w:pPr>
              <w:pStyle w:val="11"/>
              <w:widowControl/>
              <w:shd w:val="clear" w:color="auto" w:fill="FFFFFF"/>
              <w:spacing w:line="360" w:lineRule="auto"/>
              <w:ind w:firstLine="640"/>
              <w:jc w:val="left"/>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4）.深化VTE规范化防治。参与王辰院士领衔、中日友好医院牵头的中国住院患者静脉血栓栓塞症预防策略研究项目，是全省4家当选医院之一。被中华医学会评为全国肺栓塞系统化研究优秀参研单位，并高分通过全国VTE防治能力评审，成为优秀VTE防治中心。</w:t>
            </w:r>
          </w:p>
          <w:p w14:paraId="0BD08501">
            <w:pPr>
              <w:spacing w:line="360" w:lineRule="auto"/>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5）.稳步推进五大中心建设。胸痛中心完成急性心肌梗死急诊介入治疗手术136台次，ST段抬高心肌梗死病人平均门球（D2B）时间70分钟，达标率83%；发病12小时再灌注率93%。卒中中心成功开展静脉溶栓86例，DNT中位数47min；开展院内外健康讲座、义诊33次，基层培训6次,院内培训3次；完成卒中患者床旁建档1603例，卒中患者电话随访4782例。创伤中心收治严重创伤50人，总治愈率82.7%；荣获“中国创伤救治联盟会员单位”授牌，并在全市首创召开创伤MHT会议，先后到华容、临湘等6县区开展创伤技术指导与帮扶，积极提升全市创伤救治水平；工作案例荣获湖南省“改善就医感受，提升患者体验”比赛“十佳案例”，并被遴选为国家创伤联盟创伤中心建设典型案例。孕产妇救治中心全年共救治危重孕产妇26例，抢救成功率100%。</w:t>
            </w:r>
          </w:p>
          <w:p w14:paraId="7704E76D">
            <w:pPr>
              <w:spacing w:line="360" w:lineRule="auto"/>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6）.大力推广多学科联合诊疗。进一步强化全院33个MDT病种管理，其中肺癌MDT、乳腺癌MDT、罕见病MDT、肺栓塞MDT、糖尿病足MDT得到较快发展。罕见病MDT团队组织召开了罕见病诊治调研座谈会，肺栓塞MDT成立了急性肺栓塞诊治快速反应团队（PERT），全年因急性肺栓塞死亡病例下降为0例。糖尿病足MDT新增中医科、疼痛科专家，在全市首创开展糖尿病足下肢动脉闭塞患者脊髓电刺激治疗，取得良好疗效。</w:t>
            </w:r>
          </w:p>
          <w:p w14:paraId="29CF9409">
            <w:pPr>
              <w:spacing w:line="360" w:lineRule="auto"/>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7）.不断加强临床路径管理。召开临床路径工作推进会2次，完善临床路径建设工作方案，确定基本病种目录，搭建信息化操作平台。截止12月，全院实行临床路径科室36个，对出院患者按照临床路径管理占比16.02%。</w:t>
            </w:r>
          </w:p>
          <w:p w14:paraId="47730B7E">
            <w:pPr>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8）.切实提升合理用药水平。在全市率先开设药学门诊和门诊义诊专区药学服务，安排临床药师每天坐诊。全年开展药学会诊600余次，同比增加63%；在架病历点评1.27万份，同比增加98%，门诊处方点评2.61万张，同比增加20.3%，药学查房、药学科普、药物基因检测、麻精药品信息化管理等工作力度持续加大，有力提升了临床合理用药水平。</w:t>
            </w:r>
          </w:p>
          <w:p w14:paraId="1C33D243">
            <w:pPr>
              <w:pStyle w:val="7"/>
              <w:widowControl/>
              <w:spacing w:before="0" w:beforeAutospacing="0" w:after="0" w:afterAutospacing="0" w:line="580" w:lineRule="exact"/>
              <w:ind w:firstLine="560" w:firstLineChars="200"/>
              <w:jc w:val="both"/>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9）.持续加强院感管理。召开医院感染管理委员会会议、内镜同质化管理专题会议，制定《提高住院患者抗菌药物治疗前病原学送检率工作方案》，开展内镜监测规范采样操作流程专题培训、保洁员院感知识专题培训21批次，培训人数2257人；开展全院院感知识竞赛2轮次；持续提升医院感染防控能力。常态化开展院感督查，发现问题765个，提出整改建议745条，大部分已整改到位；调查手卫生时机1.02万次，手卫生正确率96.41%。成功举办全市医院感染管理质控会议和院感管理专业委员会年会、全市“提高住院患者抗菌药物治疗前病原学送检率”专项培训班、全市院感防控青年演讲大赛和湖南省医院感染管理“两网一会”年会；作为市级质控中心对全市71家医疗机构开展院感专项督查；被评为“湖南省先进院感质量控制中心”“岳阳市优秀医疗质量控制中心”。</w:t>
            </w:r>
          </w:p>
          <w:p w14:paraId="7FBC6AFF">
            <w:pPr>
              <w:pStyle w:val="7"/>
              <w:widowControl/>
              <w:numPr>
                <w:ilvl w:val="0"/>
                <w:numId w:val="4"/>
              </w:numPr>
              <w:spacing w:before="156" w:beforeLines="50" w:beforeAutospacing="0" w:after="156" w:afterLines="50" w:afterAutospacing="0" w:line="560" w:lineRule="exact"/>
              <w:jc w:val="both"/>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服务水平不断优化</w:t>
            </w:r>
          </w:p>
          <w:p w14:paraId="3D43B03E">
            <w:pPr>
              <w:pStyle w:val="2"/>
              <w:spacing w:line="560" w:lineRule="exact"/>
              <w:ind w:firstLine="321"/>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1）.门诊就医更加温馨便捷。一是优化门诊患者采血流程。将采血室搬迁至新门诊楼一楼大厅，减少采血患者的问询频次，缩短患者行动路程。二是积极推行一站式诊疗。成立产后康复诊疗中心，在产科诊区增设超声检查和静脉采血处，实现产科门诊一站式诊疗。三是完成妇科门诊一体化改造，提高妇科患者诊疗效率。四是优化影像检查服务流程，打造集影像检查登记、问询、报到、改签预约、报告打印等功能于一体的影像检查服务中心，极大方便了患者，提高了服务效率。五是优化门诊康复诊疗布局，将康复诊疗前移，增设门诊运动康复诊疗区，实现康复一条龙服务。六是弘扬国粹，在门诊开设“中医馆”，提供中医针灸康复及美容项目服务，反响良好。全年门诊满意度平均91.5分，投诉率同比下降41.3%。</w:t>
            </w:r>
          </w:p>
          <w:p w14:paraId="46B08809">
            <w:pPr>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2）.护理服务更加优质高效。一是护理技术创新发展。举办2024年护理新技术新项目论证会，审核开展14个新技术。成功开展医院首届护士技能大赛，共有20个护理单元获团体奖，41位护士获单项奖。3个项目获岳阳市首届护理创新项目奖；荣获第四届最佳临床护理实践案例竞赛岳阳市一等奖、湖南省二等奖。开办护理科研选题与论文撰写专题培训班，不断提升护理技术水平。成功立项湖南省自然科学基金区域联合项目1项。组织全院护士参加湖南省“三基”水平测试，参考率、合格率均为100%。先后与临湘市人民医院、岳阳市四人民医院等8家单位建立护理专科联盟，促进护理学科持续发展。成功开展科普视频竞赛，不断提升健康科普水平。二是护理管理更趋精益。成立院级护理质控追踪整改督查小组。开展管道、高危跌倒、药品管理等专项督查及护理不良事件安全警示教育，制定《造影剂外渗处理流程》等共6项管理规定与流程，修订《患者走失应急预案与处理流程》等共8项管理规定与流程，实行节假日部分专科合科管理、常规应急和危急重症应急队员双排班、护理部和护士长双值班的弹性管理模式，更大程度保障患者安全。三是护理服务更加优质。深入开展34个护理质量改善案和1个品管圈活动；在全院推广MEWS评分，早期预警病情变化；制定《患者心理健康管理工作流程》，为患者进行心理干预，促进患者心理健康，避免意外事件发生。全院推行一特色、二关爱、三体验、四举措“1234”卓越护理服务。如中医科大力推广中医适宜技术，改善失眠患者睡眠情况；内分泌科开展院外血糖管理，对行动不便的患者专人护送入院；神经内科一病区倾力打造安静病房；产科针对孕产妇开展一对一全程管理，降低妊娠并发症等，受到患者好评。</w:t>
            </w:r>
          </w:p>
          <w:p w14:paraId="455D7E64">
            <w:pPr>
              <w:spacing w:line="360" w:lineRule="auto"/>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3、医院管理更趋精益</w:t>
            </w:r>
          </w:p>
          <w:p w14:paraId="0E8A7430">
            <w:pPr>
              <w:pStyle w:val="5"/>
              <w:spacing w:line="58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1）.运营管理提质增效。构建以资源占用为基础的临床科室业务量预算模型，公平、公正、客观的制定每个科室的预算门诊量和预算出院病人量。新增预算执行管理绩效方案，结合DIP改革特点，按照有效CMI值和超额累进绩效，激励医务人员工作积极性。每月开展临床科室运营分析和预算执行绩效政策讲解，针对科室运行过程中发现的问题，及时反馈，做实做细全过程管理。成功举办湘北地区公立医院绩效考核培训班，来自岳阳、常德、益阳近70家医疗机构的负责人参加会议，李伟院长以《实施预算、运营、绩效一体化 抓牢用好国考“指挥棒”》为题分享了医院管理经验，引起强烈反响。</w:t>
            </w:r>
          </w:p>
          <w:p w14:paraId="2208F610">
            <w:pPr>
              <w:pStyle w:val="12"/>
              <w:ind w:firstLine="643"/>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2）.人才管理成效显著。进一步拓展人才引育渠道，完善年度考核、人才引进、公开招聘、高级职称自主评审等人事制度，激发人才队伍活力。全年共招聘专业人员72人，其中博士5名（内分泌、骨科、肝胰、肿瘤、乳腺外科）、学科带头人4名（呼吸、心电图、神内、心内）、紧缺型人才1名（精神病与精神卫生学）、硕士33名；2人通过湖南省卫健委国际海外交流学习选拔，分别赴美国南加州大学脊柱中心和加州大学欧文分校泌尿外科学习。选拔任用了19名德才兼备、工作务实、群众认可的中层管理干部；25人通过医院自主评审，晋升高级职称；为医院高质量发展积蓄人才动能。</w:t>
            </w:r>
          </w:p>
          <w:p w14:paraId="1558B584">
            <w:pPr>
              <w:pStyle w:val="7"/>
              <w:widowControl/>
              <w:spacing w:before="0" w:beforeAutospacing="0" w:after="0" w:afterAutospacing="0" w:line="560" w:lineRule="exact"/>
              <w:ind w:firstLine="560" w:firstLineChars="200"/>
              <w:jc w:val="both"/>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3）.成本管理严谨有序。一是加强国有资产管理。对全院资产进行盘点，做到账实相符、家底清晰。对报废物资进行回收再利用80件，再用利率17.5%，节约资金9.2万元。二是加强内部审计。全年审计人员审核付款票据2871份,参与进货洽谈130次、项目洽谈113个、新型医用耗材引进洽谈164次，共审减236.49万元，维护了医院利益。三是创新成本管理模式。为了降低医院低值耗材支出，避免耗材浪费，护理部联合运营部、医学装备部、信息工程部，成立医院护理单元医用低值耗材精益化管理研究项目团队，开展低值耗材精益化管理。运行以来，全院排名前20位的低值耗材同比下降23万余元。</w:t>
            </w:r>
          </w:p>
          <w:p w14:paraId="54D3EA8E">
            <w:pPr>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4）.综治管理形成长效。将门诊大楼地下停车场收回医院管理，进一步优化院内交通。推进“平安医院”建设，全院层层签订消防安全责任状60份，与上级主管部门签订责任状2份，协助市卫健委举办全市医疗机构消防标准化管理现场培训观摩会。开展全院安全大检查27次，举办消防讲座3次，消防设施使用培训演练2次，进一步提高职工消防意识。深入开展“扫黑除恶”专项斗争，发放“扫黑除恶”专项斗争宣传资料4050余份，制作横幅15条；协助辖区派出所开展“无毒社区”建设，制作宣传栏1块， 营造浓厚的医院安全文化。</w:t>
            </w:r>
          </w:p>
          <w:p w14:paraId="3CF29AA5">
            <w:pPr>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4、医药改革取得实效</w:t>
            </w:r>
          </w:p>
          <w:p w14:paraId="4ACC6FF3">
            <w:pPr>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1）.严格控制医药费用。将SPD系统纳入至医院信息系统监管理平台和医院安全监管体系，强化监管。按照国家医保总局要求，对关节、脊柱、支架类重点耗材进行重点监控，对2021至2023年重点耗材进行数据摸底和核查，并上报国家集采回头看平台进行解析。贯彻落实国家和省市药品耗材集采政策，采取低价替代高价、动态监控等措施，严控药品耗材支出。在业务量增长的同时，全院药占比21%，同比下降1.3%，药品销售总额同比减少600万元；出院患者的次均药费为2151元，下降10.45%门诊患者的次均药费为124.5元，下降9.32%，基药使用金额占比增加8.23%，抗菌药物强度下降2.3%。耗材管理继续实行“降价一批，替换一批，带量一批，替换一批”动态监管，放射类、低值类、试剂类耗材总量同比下降447.60万元，其中放射类耗材降幅达59.62%，切实减轻了患者就医负担。</w:t>
            </w:r>
          </w:p>
          <w:p w14:paraId="00B39832">
            <w:pPr>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2）.积极深化医联体建设。全年新增签约医联体单位12家，与各医联体之间联络100余次，深化业务交流。接收基层医院检验检查1000余人次，实现双向转诊3900余人次。向16家基层医疗机构派驻20位专家进行技术帮扶。派出25名专科医生全脱产支援岳阳县、屈原区等9家基层医院。选派一名专家对口帮扶保靖县人民医院创建卒中中心。帮助基层医院提升技术水平。同时，积极开展“卫生进基层”活动。在郭亮社区、郭镇乡敬老院、临湘海事处码头等地，开展大型爱民义诊活动20次；在弘毅中学、东城小学、洞氮社区等地开展健康知识讲座15次；让基层老百姓在家门口享受高质量医疗服务。</w:t>
            </w:r>
          </w:p>
          <w:p w14:paraId="181DB970">
            <w:pPr>
              <w:spacing w:line="360" w:lineRule="auto"/>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3）.不断延伸服务半径。互联网医院服务到家。互联网医院围绕线上咨询、问诊开方、线上交费、线上购药和送药到家等开展服务。共有34个科室230名医生服务上线。增加互联网+护理平台护士人数至84人，开展互联网+护理服务100例，受到群众欢迎与好评。医疗“云平台”稳步推进。完成云影像平台建设，实行云胶片服务，全年胶片打印率下降至10%以内。云心电试运行覆盖广兴洲、公田、黄沙街等9个医联体，实现实时动态心电监测、心电远程诊断、数据调阅、报告查询等，完成诊断46例。慢病管理全面铺开。设置恶性肿瘤、高血压、骨质疏松、糖尿病等慢病早筛门诊，并关口前移至五里牌、金凤桥等社区，开展慢病全病程全方位管理。认真开展城市五癌筛查和肿瘤登记工作，被省卫健委评为2023年度优秀筛查单位。以全国肿瘤防治宣传周为契机，组织开展义诊、宣教、患教会等8项活动，提升群众预防保健意识。</w:t>
            </w:r>
          </w:p>
          <w:p w14:paraId="6E1A31BE">
            <w:pPr>
              <w:pStyle w:val="5"/>
              <w:spacing w:line="58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4).医保管理持续加强。邀请市医保局赖优良主任来院宣讲医保政策，让医务人员充分了解药品、耗材医保限制。开展医保MDT稽核检查12次，DIP工作专班定期分析相关数据，及时发现并解决问题，借助中公网实现对临床医疗行为规范化管理。较好完成DIP付费首年度（2023年）清算工作。合理调整物价，重点提高手术、治疗、康复、药学、病理和精神科等体现技术劳务价值的服务项目价格，优化医疗费用结构。对284个医疗服务项目价格均及时调整到位，特别是PET/CT等大型检查项目大幅降价，让利于民。新增湖南省“双通道”责任医生9名，使全院“双通道”责任医生达到71名，涵盖双通道药品涉及的全部专业；在医保咨询窗口前置一站式服务台、在临床科室开展“医保登记”，将医保服务前移，为患者提供方便。</w:t>
            </w:r>
          </w:p>
          <w:p w14:paraId="1BA075EA">
            <w:pPr>
              <w:spacing w:line="560" w:lineRule="exact"/>
              <w:ind w:firstLine="560" w:firstLineChars="200"/>
              <w:rPr>
                <w:rFonts w:hint="eastAsia" w:ascii="仿宋_GB2312" w:hAnsi="仿宋_GB2312" w:eastAsia="仿宋_GB2312" w:cs="仿宋_GB2312"/>
                <w:bCs/>
                <w:sz w:val="28"/>
                <w:szCs w:val="28"/>
                <w:lang w:eastAsia="zh-CN"/>
              </w:rPr>
            </w:pPr>
          </w:p>
          <w:p w14:paraId="1D1545FA">
            <w:pPr>
              <w:spacing w:line="560" w:lineRule="exact"/>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四、存在的问题及原因分析</w:t>
            </w:r>
          </w:p>
          <w:p w14:paraId="4D0676FC">
            <w:pPr>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由于专项资金未能列入年初预算内，存在财政项目收入未拨付到位前支出实际发生时未计入项目支出，而仅当财政项目收入拨付到位后发生的支出才计入项目支出。</w:t>
            </w:r>
          </w:p>
          <w:p w14:paraId="1661C078">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eastAsia="zh-CN"/>
              </w:rPr>
              <w:t>五</w:t>
            </w:r>
            <w:r>
              <w:rPr>
                <w:rFonts w:hint="eastAsia" w:ascii="仿宋_GB2312" w:hAnsi="仿宋_GB2312" w:eastAsia="仿宋_GB2312" w:cs="仿宋_GB2312"/>
                <w:bCs/>
                <w:sz w:val="28"/>
                <w:szCs w:val="28"/>
              </w:rPr>
              <w:t>、下一步改进措施</w:t>
            </w:r>
          </w:p>
          <w:p w14:paraId="164CE6FA">
            <w:pPr>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对拨付的专项资金能够及时获取相关业务部门的拨付批文，可以进一步明确专项资金的使用开支范围，防范资金使用违规风险。</w:t>
            </w:r>
          </w:p>
          <w:p w14:paraId="7BB5C539">
            <w:pPr>
              <w:spacing w:line="560" w:lineRule="exact"/>
              <w:ind w:firstLine="560" w:firstLineChars="200"/>
              <w:rPr>
                <w:rFonts w:hint="eastAsia" w:ascii="仿宋_GB2312" w:hAnsi="仿宋_GB2312" w:eastAsia="仿宋_GB2312" w:cs="仿宋_GB2312"/>
                <w:bCs/>
                <w:sz w:val="28"/>
                <w:szCs w:val="28"/>
              </w:rPr>
            </w:pPr>
          </w:p>
        </w:tc>
      </w:tr>
    </w:tbl>
    <w:p w14:paraId="1325947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B977F8"/>
    <w:multiLevelType w:val="multilevel"/>
    <w:tmpl w:val="03B977F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3D60D3F"/>
    <w:multiLevelType w:val="multilevel"/>
    <w:tmpl w:val="23D60D3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09D2F47"/>
    <w:multiLevelType w:val="multilevel"/>
    <w:tmpl w:val="309D2F47"/>
    <w:lvl w:ilvl="0" w:tentative="0">
      <w:start w:val="1"/>
      <w:numFmt w:val="decimal"/>
      <w:lvlText w:val="%1、"/>
      <w:lvlJc w:val="left"/>
      <w:pPr>
        <w:ind w:left="707" w:hanging="720"/>
      </w:pPr>
      <w:rPr>
        <w:rFonts w:hint="default"/>
      </w:rPr>
    </w:lvl>
    <w:lvl w:ilvl="1" w:tentative="0">
      <w:start w:val="1"/>
      <w:numFmt w:val="lowerLetter"/>
      <w:lvlText w:val="%2)"/>
      <w:lvlJc w:val="left"/>
      <w:pPr>
        <w:ind w:left="827" w:hanging="420"/>
      </w:pPr>
    </w:lvl>
    <w:lvl w:ilvl="2" w:tentative="0">
      <w:start w:val="1"/>
      <w:numFmt w:val="lowerRoman"/>
      <w:lvlText w:val="%3."/>
      <w:lvlJc w:val="right"/>
      <w:pPr>
        <w:ind w:left="1247" w:hanging="420"/>
      </w:pPr>
    </w:lvl>
    <w:lvl w:ilvl="3" w:tentative="0">
      <w:start w:val="1"/>
      <w:numFmt w:val="decimal"/>
      <w:lvlText w:val="%4."/>
      <w:lvlJc w:val="left"/>
      <w:pPr>
        <w:ind w:left="1667" w:hanging="420"/>
      </w:pPr>
    </w:lvl>
    <w:lvl w:ilvl="4" w:tentative="0">
      <w:start w:val="1"/>
      <w:numFmt w:val="lowerLetter"/>
      <w:lvlText w:val="%5)"/>
      <w:lvlJc w:val="left"/>
      <w:pPr>
        <w:ind w:left="2087" w:hanging="420"/>
      </w:pPr>
    </w:lvl>
    <w:lvl w:ilvl="5" w:tentative="0">
      <w:start w:val="1"/>
      <w:numFmt w:val="lowerRoman"/>
      <w:lvlText w:val="%6."/>
      <w:lvlJc w:val="right"/>
      <w:pPr>
        <w:ind w:left="2507" w:hanging="420"/>
      </w:pPr>
    </w:lvl>
    <w:lvl w:ilvl="6" w:tentative="0">
      <w:start w:val="1"/>
      <w:numFmt w:val="decimal"/>
      <w:lvlText w:val="%7."/>
      <w:lvlJc w:val="left"/>
      <w:pPr>
        <w:ind w:left="2927" w:hanging="420"/>
      </w:pPr>
    </w:lvl>
    <w:lvl w:ilvl="7" w:tentative="0">
      <w:start w:val="1"/>
      <w:numFmt w:val="lowerLetter"/>
      <w:lvlText w:val="%8)"/>
      <w:lvlJc w:val="left"/>
      <w:pPr>
        <w:ind w:left="3347" w:hanging="420"/>
      </w:pPr>
    </w:lvl>
    <w:lvl w:ilvl="8" w:tentative="0">
      <w:start w:val="1"/>
      <w:numFmt w:val="lowerRoman"/>
      <w:lvlText w:val="%9."/>
      <w:lvlJc w:val="right"/>
      <w:pPr>
        <w:ind w:left="3767" w:hanging="420"/>
      </w:pPr>
    </w:lvl>
  </w:abstractNum>
  <w:abstractNum w:abstractNumId="3">
    <w:nsid w:val="3AF2111F"/>
    <w:multiLevelType w:val="multilevel"/>
    <w:tmpl w:val="3AF2111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NhYmM5ZGYyMWMwZmNkZjM2M2MyYTJhMjYwN2ZiOGIifQ=="/>
  </w:docVars>
  <w:rsids>
    <w:rsidRoot w:val="00000000"/>
    <w:rsid w:val="1457316F"/>
    <w:rsid w:val="1E4E3279"/>
    <w:rsid w:val="1FF1008B"/>
    <w:rsid w:val="28CC04F8"/>
    <w:rsid w:val="336E03B1"/>
    <w:rsid w:val="3AA22240"/>
    <w:rsid w:val="3DD27E02"/>
    <w:rsid w:val="46EA50E5"/>
    <w:rsid w:val="4D2E00B9"/>
    <w:rsid w:val="4F732AC8"/>
    <w:rsid w:val="5144471C"/>
    <w:rsid w:val="53486019"/>
    <w:rsid w:val="5D5977A1"/>
    <w:rsid w:val="5FD4774C"/>
    <w:rsid w:val="634560DC"/>
    <w:rsid w:val="73C03C85"/>
    <w:rsid w:val="7BFB29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footer"/>
    <w:basedOn w:val="1"/>
    <w:next w:val="3"/>
    <w:unhideWhenUsed/>
    <w:qFormat/>
    <w:uiPriority w:val="99"/>
    <w:pPr>
      <w:tabs>
        <w:tab w:val="center" w:pos="4153"/>
        <w:tab w:val="right" w:pos="8306"/>
      </w:tabs>
      <w:snapToGrid w:val="0"/>
      <w:jc w:val="left"/>
    </w:pPr>
    <w:rPr>
      <w:sz w:val="18"/>
      <w:szCs w:val="18"/>
    </w:rPr>
  </w:style>
  <w:style w:type="paragraph" w:styleId="3">
    <w:name w:val="index 5"/>
    <w:basedOn w:val="1"/>
    <w:next w:val="1"/>
    <w:qFormat/>
    <w:uiPriority w:val="0"/>
    <w:pPr>
      <w:ind w:left="1680"/>
    </w:pPr>
    <w:rPr>
      <w:rFonts w:ascii="Calibri" w:hAnsi="Calibri"/>
    </w:rPr>
  </w:style>
  <w:style w:type="paragraph" w:styleId="4">
    <w:name w:val="Body Text Indent"/>
    <w:basedOn w:val="1"/>
    <w:unhideWhenUsed/>
    <w:qFormat/>
    <w:uiPriority w:val="99"/>
    <w:pPr>
      <w:spacing w:after="120"/>
      <w:ind w:left="420" w:leftChars="200"/>
    </w:pPr>
  </w:style>
  <w:style w:type="paragraph" w:styleId="5">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index 9"/>
    <w:basedOn w:val="1"/>
    <w:next w:val="1"/>
    <w:qFormat/>
    <w:uiPriority w:val="0"/>
    <w:pPr>
      <w:ind w:left="1600" w:leftChars="1600"/>
    </w:pPr>
  </w:style>
  <w:style w:type="paragraph" w:styleId="7">
    <w:name w:val="Normal (Web)"/>
    <w:basedOn w:val="1"/>
    <w:qFormat/>
    <w:uiPriority w:val="0"/>
    <w:pPr>
      <w:jc w:val="left"/>
    </w:pPr>
    <w:rPr>
      <w:rFonts w:ascii="Calibri" w:hAnsi="Calibri"/>
      <w:kern w:val="0"/>
      <w:sz w:val="24"/>
    </w:rPr>
  </w:style>
  <w:style w:type="paragraph" w:styleId="8">
    <w:name w:val="Body Text First Indent 2"/>
    <w:basedOn w:val="4"/>
    <w:qFormat/>
    <w:uiPriority w:val="0"/>
    <w:pPr>
      <w:tabs>
        <w:tab w:val="left" w:pos="2392"/>
      </w:tabs>
      <w:spacing w:after="0"/>
      <w:ind w:left="332" w:leftChars="10" w:firstLine="420" w:firstLineChars="200"/>
    </w:pPr>
    <w:rPr>
      <w:rFonts w:ascii="Times New Roman" w:hAnsi="Times New Roman"/>
      <w:kern w:val="0"/>
      <w:sz w:val="20"/>
      <w:szCs w:val="20"/>
    </w:rPr>
  </w:style>
  <w:style w:type="paragraph" w:styleId="11">
    <w:name w:val="List Paragraph"/>
    <w:basedOn w:val="1"/>
    <w:qFormat/>
    <w:uiPriority w:val="34"/>
    <w:pPr>
      <w:ind w:firstLine="420" w:firstLineChars="200"/>
    </w:pPr>
  </w:style>
  <w:style w:type="paragraph" w:customStyle="1" w:styleId="12">
    <w:name w:val="BodyText1I2"/>
    <w:basedOn w:val="1"/>
    <w:qFormat/>
    <w:uiPriority w:val="0"/>
    <w:pPr>
      <w:ind w:firstLine="420" w:firstLineChars="200"/>
    </w:pPr>
    <w:rPr>
      <w:rFonts w:ascii="Calibri" w:hAnsi="Calibri" w:eastAsia="仿宋"/>
      <w:sz w:val="20"/>
    </w:rPr>
  </w:style>
  <w:style w:type="character" w:customStyle="1" w:styleId="13">
    <w:name w:val="apple-converted-space"/>
    <w:basedOn w:val="10"/>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21612</Words>
  <Characters>22885</Characters>
  <Lines>0</Lines>
  <Paragraphs>0</Paragraphs>
  <TotalTime>8</TotalTime>
  <ScaleCrop>false</ScaleCrop>
  <LinksUpToDate>false</LinksUpToDate>
  <CharactersWithSpaces>23290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2023-10-24T08:39:00Z</dcterms:created>
  <dc:creator>Administrator</dc:creator>
  <cp:lastModifiedBy>兔朱迪和狐尼克</cp:lastModifiedBy>
  <dcterms:modified xsi:type="dcterms:W3CDTF">2025-12-23T08:29:41Z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E12235FACF82418DA680CA6239918BB3_13</vt:lpwstr>
  </property>
  <property fmtid="{D5CDD505-2E9C-101B-9397-08002B2CF9AE}" pid="4" name="KSOTemplateDocerSaveRecord">
    <vt:lpwstr>eyJoZGlkIjoiYzAxMmVkMzA0N2FmYzE1ZWRjNjE2MjU3NjNmYmJjZTAiLCJ1c2VySWQiOiI4MzQ4MTEzODQifQ==</vt:lpwstr>
  </property>
</Properties>
</file>