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B6DCFF1">
      <w:pPr>
        <w:pStyle w:val="14"/>
        <w:jc w:val="center"/>
        <w:rPr>
          <w:sz w:val="56"/>
          <w:szCs w:val="56"/>
        </w:rPr>
      </w:pPr>
    </w:p>
    <w:p w14:paraId="3BDF5AB8">
      <w:pPr>
        <w:pStyle w:val="14"/>
        <w:jc w:val="center"/>
        <w:rPr>
          <w:sz w:val="56"/>
          <w:szCs w:val="56"/>
        </w:rPr>
      </w:pPr>
    </w:p>
    <w:p w14:paraId="60CA4575">
      <w:pPr>
        <w:pStyle w:val="14"/>
        <w:jc w:val="center"/>
        <w:rPr>
          <w:sz w:val="84"/>
          <w:szCs w:val="84"/>
        </w:rPr>
      </w:pPr>
    </w:p>
    <w:p w14:paraId="215EB31D">
      <w:pPr>
        <w:pStyle w:val="14"/>
        <w:jc w:val="center"/>
        <w:rPr>
          <w:sz w:val="84"/>
          <w:szCs w:val="84"/>
        </w:rPr>
      </w:pPr>
    </w:p>
    <w:p w14:paraId="376C8602">
      <w:pPr>
        <w:pStyle w:val="14"/>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202</w:t>
      </w:r>
      <w:r>
        <w:rPr>
          <w:rFonts w:hint="eastAsia" w:ascii="方正小标宋_GBK" w:hAnsi="方正小标宋_GBK" w:eastAsia="方正小标宋_GBK" w:cs="方正小标宋_GBK"/>
          <w:sz w:val="84"/>
          <w:szCs w:val="84"/>
          <w:lang w:val="en-US" w:eastAsia="zh-CN"/>
        </w:rPr>
        <w:t>4</w:t>
      </w:r>
      <w:r>
        <w:rPr>
          <w:rFonts w:hint="eastAsia" w:ascii="方正小标宋_GBK" w:hAnsi="方正小标宋_GBK" w:eastAsia="方正小标宋_GBK" w:cs="方正小标宋_GBK"/>
          <w:sz w:val="84"/>
          <w:szCs w:val="84"/>
        </w:rPr>
        <w:t>年度</w:t>
      </w:r>
    </w:p>
    <w:p w14:paraId="6934EBE9">
      <w:pPr>
        <w:pStyle w:val="14"/>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lang w:val="en-US" w:eastAsia="zh-CN"/>
        </w:rPr>
        <w:t>岳阳市中心血站</w:t>
      </w:r>
      <w:r>
        <w:rPr>
          <w:rFonts w:hint="eastAsia" w:ascii="方正小标宋_GBK" w:hAnsi="方正小标宋_GBK" w:eastAsia="方正小标宋_GBK" w:cs="方正小标宋_GBK"/>
          <w:sz w:val="84"/>
          <w:szCs w:val="84"/>
        </w:rPr>
        <w:t>部门决算</w:t>
      </w:r>
    </w:p>
    <w:p w14:paraId="3A699C16">
      <w:pPr>
        <w:pStyle w:val="14"/>
        <w:jc w:val="center"/>
        <w:rPr>
          <w:rFonts w:hint="eastAsia" w:ascii="方正小标宋_GBK" w:hAnsi="方正小标宋_GBK" w:eastAsia="方正小标宋_GBK" w:cs="方正小标宋_GBK"/>
          <w:sz w:val="56"/>
          <w:szCs w:val="56"/>
        </w:rPr>
      </w:pPr>
    </w:p>
    <w:p w14:paraId="72C8FB58">
      <w:pPr>
        <w:pStyle w:val="14"/>
        <w:jc w:val="center"/>
        <w:rPr>
          <w:sz w:val="56"/>
          <w:szCs w:val="56"/>
        </w:rPr>
      </w:pPr>
    </w:p>
    <w:p w14:paraId="25018D25">
      <w:pPr>
        <w:pStyle w:val="14"/>
        <w:jc w:val="center"/>
        <w:rPr>
          <w:sz w:val="56"/>
          <w:szCs w:val="56"/>
        </w:rPr>
      </w:pPr>
    </w:p>
    <w:p w14:paraId="5EE73A38">
      <w:pPr>
        <w:pStyle w:val="14"/>
        <w:jc w:val="center"/>
        <w:rPr>
          <w:sz w:val="56"/>
          <w:szCs w:val="56"/>
        </w:rPr>
      </w:pPr>
    </w:p>
    <w:p w14:paraId="297571C5">
      <w:pPr>
        <w:pStyle w:val="14"/>
        <w:jc w:val="center"/>
        <w:rPr>
          <w:sz w:val="32"/>
          <w:szCs w:val="32"/>
        </w:rPr>
      </w:pPr>
    </w:p>
    <w:p w14:paraId="08493D1E">
      <w:pPr>
        <w:pStyle w:val="14"/>
        <w:jc w:val="center"/>
        <w:rPr>
          <w:sz w:val="32"/>
          <w:szCs w:val="32"/>
        </w:rPr>
      </w:pPr>
    </w:p>
    <w:p w14:paraId="5BD6E8BD">
      <w:pPr>
        <w:pStyle w:val="14"/>
        <w:jc w:val="center"/>
        <w:rPr>
          <w:sz w:val="32"/>
          <w:szCs w:val="32"/>
        </w:rPr>
      </w:pPr>
    </w:p>
    <w:p w14:paraId="1062A3B4">
      <w:pPr>
        <w:pStyle w:val="14"/>
        <w:jc w:val="center"/>
        <w:rPr>
          <w:sz w:val="32"/>
          <w:szCs w:val="32"/>
        </w:rPr>
      </w:pPr>
    </w:p>
    <w:p w14:paraId="6311DFC7">
      <w:pPr>
        <w:pStyle w:val="14"/>
        <w:jc w:val="center"/>
        <w:rPr>
          <w:sz w:val="32"/>
          <w:szCs w:val="32"/>
        </w:rPr>
      </w:pPr>
    </w:p>
    <w:p w14:paraId="50228290">
      <w:pPr>
        <w:pStyle w:val="14"/>
        <w:spacing w:line="540" w:lineRule="exact"/>
        <w:jc w:val="center"/>
        <w:rPr>
          <w:sz w:val="56"/>
          <w:szCs w:val="56"/>
        </w:rPr>
      </w:pPr>
    </w:p>
    <w:p w14:paraId="459C483D">
      <w:pPr>
        <w:pStyle w:val="14"/>
        <w:spacing w:line="500" w:lineRule="exact"/>
        <w:jc w:val="both"/>
        <w:rPr>
          <w:b/>
          <w:sz w:val="36"/>
          <w:szCs w:val="28"/>
        </w:rPr>
      </w:pPr>
    </w:p>
    <w:p w14:paraId="24F3309B">
      <w:pPr>
        <w:pStyle w:val="14"/>
        <w:spacing w:line="500" w:lineRule="exact"/>
        <w:jc w:val="center"/>
        <w:rPr>
          <w:b/>
          <w:sz w:val="36"/>
          <w:szCs w:val="28"/>
        </w:rPr>
      </w:pPr>
      <w:r>
        <w:rPr>
          <w:rFonts w:hint="eastAsia"/>
          <w:b/>
          <w:sz w:val="36"/>
          <w:szCs w:val="28"/>
        </w:rPr>
        <w:t>目录</w:t>
      </w:r>
    </w:p>
    <w:p w14:paraId="6CBD0C22">
      <w:pPr>
        <w:pStyle w:val="14"/>
        <w:spacing w:line="500" w:lineRule="exact"/>
        <w:rPr>
          <w:rFonts w:hint="eastAsia" w:ascii="黑体" w:hAnsi="黑体" w:eastAsia="黑体" w:cs="黑体"/>
          <w:b w:val="0"/>
          <w:bCs/>
          <w:sz w:val="28"/>
          <w:szCs w:val="28"/>
        </w:rPr>
      </w:pPr>
      <w:r>
        <w:rPr>
          <w:rFonts w:hint="eastAsia" w:ascii="黑体" w:hAnsi="黑体" w:eastAsia="黑体" w:cs="黑体"/>
          <w:b w:val="0"/>
          <w:bCs/>
          <w:sz w:val="28"/>
          <w:szCs w:val="28"/>
        </w:rPr>
        <w:t>第一部分</w:t>
      </w:r>
      <w:r>
        <w:rPr>
          <w:rFonts w:hint="eastAsia" w:hAnsi="黑体" w:cs="黑体"/>
          <w:b w:val="0"/>
          <w:bCs/>
          <w:sz w:val="28"/>
          <w:szCs w:val="28"/>
          <w:lang w:val="en-US" w:eastAsia="zh-CN"/>
        </w:rPr>
        <w:t>岳阳市中心血站</w:t>
      </w:r>
      <w:r>
        <w:rPr>
          <w:rFonts w:hint="eastAsia" w:ascii="黑体" w:hAnsi="黑体" w:eastAsia="黑体" w:cs="黑体"/>
          <w:b w:val="0"/>
          <w:bCs/>
          <w:sz w:val="28"/>
          <w:szCs w:val="28"/>
        </w:rPr>
        <w:t>概况</w:t>
      </w:r>
    </w:p>
    <w:p w14:paraId="060CB1DC">
      <w:pPr>
        <w:pStyle w:val="14"/>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一、部门职责</w:t>
      </w:r>
    </w:p>
    <w:p w14:paraId="315E49DA">
      <w:pPr>
        <w:pStyle w:val="14"/>
        <w:spacing w:line="500" w:lineRule="exact"/>
        <w:ind w:firstLine="700" w:firstLineChars="250"/>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rPr>
        <w:t>二、机构设置</w:t>
      </w:r>
      <w:r>
        <w:rPr>
          <w:rFonts w:hint="eastAsia" w:ascii="仿宋_GB2312" w:hAnsi="仿宋_GB2312" w:eastAsia="仿宋_GB2312" w:cs="仿宋_GB2312"/>
          <w:sz w:val="28"/>
          <w:szCs w:val="28"/>
          <w:lang w:eastAsia="zh-CN"/>
        </w:rPr>
        <w:t>及决算单位构成</w:t>
      </w:r>
    </w:p>
    <w:p w14:paraId="3CE431DD">
      <w:pPr>
        <w:pStyle w:val="14"/>
        <w:spacing w:line="500" w:lineRule="exact"/>
        <w:rPr>
          <w:rFonts w:hint="eastAsia" w:ascii="黑体" w:hAnsi="黑体" w:eastAsia="黑体" w:cs="黑体"/>
          <w:b w:val="0"/>
          <w:bCs/>
          <w:sz w:val="28"/>
          <w:szCs w:val="28"/>
        </w:rPr>
      </w:pPr>
      <w:r>
        <w:rPr>
          <w:rFonts w:hint="eastAsia" w:ascii="黑体" w:hAnsi="黑体" w:eastAsia="黑体" w:cs="黑体"/>
          <w:b w:val="0"/>
          <w:bCs/>
          <w:sz w:val="28"/>
          <w:szCs w:val="28"/>
        </w:rPr>
        <w:t>第二部分</w:t>
      </w:r>
      <w:r>
        <w:rPr>
          <w:rFonts w:hint="eastAsia" w:ascii="黑体" w:hAnsi="黑体" w:eastAsia="黑体" w:cs="黑体"/>
          <w:b w:val="0"/>
          <w:bCs/>
          <w:sz w:val="28"/>
          <w:szCs w:val="28"/>
          <w:lang w:val="en-US" w:eastAsia="zh-CN"/>
        </w:rPr>
        <w:t xml:space="preserve"> </w:t>
      </w:r>
      <w:r>
        <w:rPr>
          <w:rFonts w:hint="eastAsia" w:ascii="黑体" w:hAnsi="黑体" w:eastAsia="黑体" w:cs="黑体"/>
          <w:b w:val="0"/>
          <w:bCs/>
          <w:sz w:val="28"/>
          <w:szCs w:val="28"/>
        </w:rPr>
        <w:t>部门决算表</w:t>
      </w:r>
    </w:p>
    <w:p w14:paraId="4B1DE222">
      <w:pPr>
        <w:pStyle w:val="14"/>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一、收入支出决算总表</w:t>
      </w:r>
    </w:p>
    <w:p w14:paraId="28DAEA9B">
      <w:pPr>
        <w:pStyle w:val="14"/>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二、收入决算表</w:t>
      </w:r>
    </w:p>
    <w:p w14:paraId="4189E141">
      <w:pPr>
        <w:pStyle w:val="14"/>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三、支出决算表</w:t>
      </w:r>
    </w:p>
    <w:p w14:paraId="0621647E">
      <w:pPr>
        <w:pStyle w:val="14"/>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四、财政拨款收入支出决算总表</w:t>
      </w:r>
    </w:p>
    <w:p w14:paraId="28E0B171">
      <w:pPr>
        <w:pStyle w:val="14"/>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五、一般公共预算财政拨款支出决算表</w:t>
      </w:r>
    </w:p>
    <w:p w14:paraId="0A1DA969">
      <w:pPr>
        <w:pStyle w:val="14"/>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六、一般公共预算财政拨款基本支出决算明细表</w:t>
      </w:r>
    </w:p>
    <w:p w14:paraId="62E9A333">
      <w:pPr>
        <w:pStyle w:val="14"/>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七、政府性基金预算财政拨款收入支出决算表</w:t>
      </w:r>
    </w:p>
    <w:p w14:paraId="316661B6">
      <w:pPr>
        <w:pStyle w:val="14"/>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八、国有资本经营预算财政拨款支出决算表</w:t>
      </w:r>
    </w:p>
    <w:p w14:paraId="23827588">
      <w:pPr>
        <w:pStyle w:val="14"/>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九、财政拨款“三公”经费支出决算表</w:t>
      </w:r>
    </w:p>
    <w:p w14:paraId="69B4707F">
      <w:pPr>
        <w:pStyle w:val="14"/>
        <w:spacing w:line="500" w:lineRule="exact"/>
        <w:rPr>
          <w:rFonts w:hint="eastAsia" w:ascii="黑体" w:hAnsi="黑体" w:eastAsia="黑体" w:cs="黑体"/>
          <w:b w:val="0"/>
          <w:bCs/>
          <w:sz w:val="28"/>
          <w:szCs w:val="28"/>
        </w:rPr>
      </w:pPr>
      <w:r>
        <w:rPr>
          <w:rFonts w:hint="eastAsia" w:ascii="黑体" w:hAnsi="黑体" w:eastAsia="黑体" w:cs="黑体"/>
          <w:b w:val="0"/>
          <w:bCs/>
          <w:sz w:val="28"/>
          <w:szCs w:val="28"/>
        </w:rPr>
        <w:t>第三部分</w:t>
      </w:r>
      <w:r>
        <w:rPr>
          <w:rFonts w:hint="eastAsia" w:ascii="黑体" w:hAnsi="黑体" w:eastAsia="黑体" w:cs="黑体"/>
          <w:b w:val="0"/>
          <w:bCs/>
          <w:sz w:val="28"/>
          <w:szCs w:val="28"/>
          <w:lang w:val="en-US" w:eastAsia="zh-CN"/>
        </w:rPr>
        <w:t xml:space="preserve"> </w:t>
      </w:r>
      <w:r>
        <w:rPr>
          <w:rFonts w:hint="eastAsia" w:ascii="黑体" w:hAnsi="黑体" w:eastAsia="黑体" w:cs="黑体"/>
          <w:b w:val="0"/>
          <w:bCs/>
          <w:sz w:val="28"/>
          <w:szCs w:val="28"/>
        </w:rPr>
        <w:t>部门决算情况说明</w:t>
      </w:r>
    </w:p>
    <w:p w14:paraId="30D2819C">
      <w:pPr>
        <w:pStyle w:val="14"/>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一、收入支出决算总体情况说明</w:t>
      </w:r>
    </w:p>
    <w:p w14:paraId="2F99AFEC">
      <w:pPr>
        <w:spacing w:line="500" w:lineRule="exact"/>
        <w:ind w:firstLine="700" w:firstLineChars="250"/>
        <w:jc w:val="left"/>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二、收入决算情况说明</w:t>
      </w:r>
    </w:p>
    <w:p w14:paraId="69796A82">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三、支出决算情况说明</w:t>
      </w:r>
    </w:p>
    <w:p w14:paraId="42F5763D">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四、财政拨款收入支出决算总体情况说明</w:t>
      </w:r>
    </w:p>
    <w:p w14:paraId="4551B6B2">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五、一般公共预算财政拨款支出决算情况说明</w:t>
      </w:r>
    </w:p>
    <w:p w14:paraId="0BC2CE30">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六、一般公共预算财政拨款基本支出决算情况说明</w:t>
      </w:r>
    </w:p>
    <w:p w14:paraId="11D85543">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七、政府性基金预算收入支出决算情况</w:t>
      </w:r>
    </w:p>
    <w:p w14:paraId="5F6B554B">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eastAsia="仿宋_GB2312" w:cs="仿宋_GB2312"/>
          <w:color w:val="000000"/>
          <w:kern w:val="0"/>
          <w:sz w:val="28"/>
          <w:szCs w:val="28"/>
          <w:highlight w:val="yellow"/>
        </w:rPr>
      </w:pPr>
      <w:r>
        <w:rPr>
          <w:rFonts w:hint="eastAsia" w:ascii="仿宋_GB2312" w:hAnsi="仿宋_GB2312" w:eastAsia="仿宋_GB2312" w:cs="仿宋_GB2312"/>
          <w:color w:val="000000"/>
          <w:kern w:val="0"/>
          <w:sz w:val="28"/>
          <w:szCs w:val="28"/>
          <w:highlight w:val="none"/>
        </w:rPr>
        <w:t>八、</w:t>
      </w:r>
      <w:r>
        <w:rPr>
          <w:rFonts w:hint="eastAsia" w:ascii="仿宋_GB2312" w:hAnsi="仿宋_GB2312" w:eastAsia="仿宋_GB2312" w:cs="仿宋_GB2312"/>
          <w:sz w:val="28"/>
          <w:szCs w:val="28"/>
          <w:highlight w:val="none"/>
        </w:rPr>
        <w:t>国有资本经营预算财政拨款支出决算</w:t>
      </w:r>
      <w:r>
        <w:rPr>
          <w:rFonts w:hint="eastAsia" w:ascii="仿宋_GB2312" w:hAnsi="仿宋_GB2312" w:eastAsia="仿宋_GB2312" w:cs="仿宋_GB2312"/>
          <w:sz w:val="28"/>
          <w:szCs w:val="28"/>
          <w:highlight w:val="none"/>
          <w:lang w:eastAsia="zh-CN"/>
        </w:rPr>
        <w:t>情况</w:t>
      </w:r>
    </w:p>
    <w:p w14:paraId="71D9102A">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eastAsia="仿宋_GB2312" w:cs="仿宋_GB2312"/>
          <w:color w:val="000000"/>
          <w:kern w:val="0"/>
          <w:sz w:val="28"/>
          <w:szCs w:val="28"/>
          <w:lang w:eastAsia="zh-CN"/>
        </w:rPr>
      </w:pPr>
      <w:r>
        <w:rPr>
          <w:rFonts w:hint="eastAsia" w:ascii="仿宋_GB2312" w:hAnsi="仿宋_GB2312" w:eastAsia="仿宋_GB2312" w:cs="仿宋_GB2312"/>
          <w:color w:val="000000"/>
          <w:kern w:val="0"/>
          <w:sz w:val="28"/>
          <w:szCs w:val="28"/>
        </w:rPr>
        <w:t>九、财政拨款三公经费支出决算情况说明</w:t>
      </w:r>
    </w:p>
    <w:p w14:paraId="371B64F5">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十、关于机关运行经费支出说明</w:t>
      </w:r>
    </w:p>
    <w:p w14:paraId="1624E73C">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十一、一般性支出情况说明</w:t>
      </w:r>
    </w:p>
    <w:p w14:paraId="6C86A3EF">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sz w:val="28"/>
          <w:szCs w:val="28"/>
        </w:rPr>
        <w:t>十二、</w:t>
      </w:r>
      <w:r>
        <w:rPr>
          <w:rFonts w:hint="eastAsia" w:ascii="仿宋_GB2312" w:hAnsi="仿宋_GB2312" w:eastAsia="仿宋_GB2312" w:cs="仿宋_GB2312"/>
          <w:color w:val="000000"/>
          <w:kern w:val="0"/>
          <w:sz w:val="28"/>
          <w:szCs w:val="28"/>
        </w:rPr>
        <w:t>关于政府采购支出说明</w:t>
      </w:r>
    </w:p>
    <w:p w14:paraId="5E15A642">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textAlignment w:val="auto"/>
        <w:rPr>
          <w:rFonts w:hint="eastAsia" w:ascii="仿宋_GB2312" w:hAnsi="仿宋_GB2312" w:eastAsia="仿宋_GB2312" w:cs="仿宋_GB2312"/>
          <w:color w:val="000000"/>
          <w:kern w:val="0"/>
          <w:sz w:val="28"/>
          <w:szCs w:val="28"/>
          <w:lang w:val="en-US" w:eastAsia="zh-CN" w:bidi="ar-SA"/>
        </w:rPr>
      </w:pPr>
      <w:r>
        <w:rPr>
          <w:rFonts w:hint="eastAsia" w:ascii="仿宋_GB2312" w:hAnsi="仿宋_GB2312" w:eastAsia="仿宋_GB2312" w:cs="仿宋_GB2312"/>
          <w:color w:val="000000"/>
          <w:kern w:val="0"/>
          <w:sz w:val="28"/>
          <w:szCs w:val="28"/>
          <w:lang w:val="en-US" w:eastAsia="zh-CN" w:bidi="ar-SA"/>
        </w:rPr>
        <w:t>十三、关于国有资产占用情况说明</w:t>
      </w:r>
    </w:p>
    <w:p w14:paraId="5BD7D26C">
      <w:pPr>
        <w:pStyle w:val="14"/>
        <w:spacing w:line="500" w:lineRule="exact"/>
        <w:ind w:firstLine="700" w:firstLineChars="250"/>
        <w:rPr>
          <w:rFonts w:hint="eastAsia" w:ascii="仿宋_GB2312" w:hAnsi="仿宋_GB2312" w:eastAsia="仿宋_GB2312" w:cs="仿宋_GB2312"/>
          <w:sz w:val="28"/>
          <w:szCs w:val="28"/>
          <w:highlight w:val="none"/>
        </w:rPr>
      </w:pPr>
      <w:r>
        <w:rPr>
          <w:rFonts w:hint="eastAsia" w:ascii="仿宋_GB2312" w:hAnsi="仿宋_GB2312" w:eastAsia="仿宋_GB2312" w:cs="仿宋_GB2312"/>
          <w:color w:val="000000"/>
          <w:kern w:val="0"/>
          <w:sz w:val="28"/>
          <w:szCs w:val="28"/>
          <w:highlight w:val="none"/>
          <w:lang w:val="en-US" w:eastAsia="zh-CN" w:bidi="ar-SA"/>
        </w:rPr>
        <w:t>十四、</w:t>
      </w:r>
      <w:r>
        <w:rPr>
          <w:rFonts w:hint="eastAsia" w:ascii="仿宋_GB2312" w:hAnsi="仿宋_GB2312" w:eastAsia="仿宋_GB2312" w:cs="仿宋_GB2312"/>
          <w:sz w:val="28"/>
          <w:szCs w:val="28"/>
          <w:highlight w:val="none"/>
        </w:rPr>
        <w:t>关于</w:t>
      </w:r>
      <w:r>
        <w:rPr>
          <w:rFonts w:hint="default" w:ascii="Times New Roman" w:hAnsi="Times New Roman" w:eastAsia="仿宋_GB2312" w:cs="Times New Roman"/>
          <w:sz w:val="28"/>
          <w:szCs w:val="28"/>
          <w:highlight w:val="none"/>
        </w:rPr>
        <w:t>202</w:t>
      </w:r>
      <w:r>
        <w:rPr>
          <w:rFonts w:hint="eastAsia" w:ascii="Times New Roman" w:hAnsi="Times New Roman" w:eastAsia="仿宋_GB2312" w:cs="Times New Roman"/>
          <w:sz w:val="28"/>
          <w:szCs w:val="28"/>
          <w:highlight w:val="none"/>
          <w:lang w:val="en-US" w:eastAsia="zh-CN"/>
        </w:rPr>
        <w:t>4</w:t>
      </w:r>
      <w:r>
        <w:rPr>
          <w:rFonts w:hint="eastAsia" w:ascii="仿宋_GB2312" w:hAnsi="仿宋_GB2312" w:eastAsia="仿宋_GB2312" w:cs="仿宋_GB2312"/>
          <w:sz w:val="28"/>
          <w:szCs w:val="28"/>
          <w:highlight w:val="none"/>
        </w:rPr>
        <w:t>年度</w:t>
      </w:r>
      <w:r>
        <w:rPr>
          <w:rFonts w:hint="eastAsia" w:ascii="仿宋_GB2312" w:hAnsi="仿宋_GB2312" w:eastAsia="仿宋_GB2312" w:cs="仿宋_GB2312"/>
          <w:sz w:val="28"/>
          <w:szCs w:val="28"/>
          <w:highlight w:val="none"/>
          <w:lang w:eastAsia="zh-CN"/>
        </w:rPr>
        <w:t>预算</w:t>
      </w:r>
      <w:r>
        <w:rPr>
          <w:rFonts w:hint="eastAsia" w:ascii="仿宋_GB2312" w:hAnsi="仿宋_GB2312" w:eastAsia="仿宋_GB2312" w:cs="仿宋_GB2312"/>
          <w:sz w:val="28"/>
          <w:szCs w:val="28"/>
          <w:highlight w:val="none"/>
        </w:rPr>
        <w:t>绩效</w:t>
      </w:r>
      <w:r>
        <w:rPr>
          <w:rFonts w:hint="eastAsia" w:ascii="仿宋_GB2312" w:hAnsi="仿宋_GB2312" w:eastAsia="仿宋_GB2312" w:cs="仿宋_GB2312"/>
          <w:sz w:val="28"/>
          <w:szCs w:val="28"/>
          <w:highlight w:val="none"/>
          <w:lang w:eastAsia="zh-CN"/>
        </w:rPr>
        <w:t>管理</w:t>
      </w:r>
      <w:r>
        <w:rPr>
          <w:rFonts w:hint="eastAsia" w:ascii="仿宋_GB2312" w:hAnsi="仿宋_GB2312" w:eastAsia="仿宋_GB2312" w:cs="仿宋_GB2312"/>
          <w:sz w:val="28"/>
          <w:szCs w:val="28"/>
          <w:highlight w:val="none"/>
        </w:rPr>
        <w:t>情况的说明</w:t>
      </w:r>
    </w:p>
    <w:p w14:paraId="51852483">
      <w:pPr>
        <w:pStyle w:val="14"/>
        <w:spacing w:line="500" w:lineRule="exact"/>
        <w:rPr>
          <w:rFonts w:hint="eastAsia" w:ascii="黑体" w:hAnsi="黑体" w:eastAsia="黑体" w:cs="黑体"/>
          <w:b w:val="0"/>
          <w:bCs/>
          <w:sz w:val="28"/>
          <w:szCs w:val="28"/>
        </w:rPr>
      </w:pPr>
      <w:r>
        <w:rPr>
          <w:rFonts w:hint="eastAsia" w:ascii="黑体" w:hAnsi="黑体" w:eastAsia="黑体" w:cs="黑体"/>
          <w:b w:val="0"/>
          <w:bCs/>
          <w:sz w:val="28"/>
          <w:szCs w:val="28"/>
        </w:rPr>
        <w:t>第四部分</w:t>
      </w:r>
      <w:r>
        <w:rPr>
          <w:rFonts w:hint="eastAsia" w:ascii="黑体" w:hAnsi="黑体" w:eastAsia="黑体" w:cs="黑体"/>
          <w:b w:val="0"/>
          <w:bCs/>
          <w:sz w:val="28"/>
          <w:szCs w:val="28"/>
          <w:lang w:val="en-US" w:eastAsia="zh-CN"/>
        </w:rPr>
        <w:t xml:space="preserve"> </w:t>
      </w:r>
      <w:r>
        <w:rPr>
          <w:rFonts w:hint="eastAsia" w:ascii="黑体" w:hAnsi="黑体" w:eastAsia="黑体" w:cs="黑体"/>
          <w:b w:val="0"/>
          <w:bCs/>
          <w:sz w:val="28"/>
          <w:szCs w:val="28"/>
        </w:rPr>
        <w:t>名词解释</w:t>
      </w:r>
    </w:p>
    <w:p w14:paraId="7D866A9C">
      <w:pPr>
        <w:pStyle w:val="14"/>
        <w:spacing w:line="500" w:lineRule="exact"/>
        <w:rPr>
          <w:rFonts w:hint="eastAsia" w:ascii="黑体" w:hAnsi="黑体" w:eastAsia="黑体" w:cs="黑体"/>
          <w:b w:val="0"/>
          <w:bCs/>
          <w:sz w:val="28"/>
          <w:szCs w:val="28"/>
          <w:lang w:eastAsia="zh-CN"/>
        </w:rPr>
      </w:pPr>
      <w:r>
        <w:rPr>
          <w:rFonts w:hint="eastAsia" w:ascii="黑体" w:hAnsi="黑体" w:eastAsia="黑体" w:cs="黑体"/>
          <w:b w:val="0"/>
          <w:bCs/>
          <w:sz w:val="28"/>
          <w:szCs w:val="28"/>
        </w:rPr>
        <w:t>第</w:t>
      </w:r>
      <w:r>
        <w:rPr>
          <w:rFonts w:hint="eastAsia" w:hAnsi="黑体" w:cs="黑体"/>
          <w:b w:val="0"/>
          <w:bCs/>
          <w:sz w:val="28"/>
          <w:szCs w:val="28"/>
          <w:lang w:eastAsia="zh-CN"/>
        </w:rPr>
        <w:t>五</w:t>
      </w:r>
      <w:r>
        <w:rPr>
          <w:rFonts w:hint="eastAsia" w:ascii="黑体" w:hAnsi="黑体" w:eastAsia="黑体" w:cs="黑体"/>
          <w:b w:val="0"/>
          <w:bCs/>
          <w:sz w:val="28"/>
          <w:szCs w:val="28"/>
        </w:rPr>
        <w:t>部分</w:t>
      </w:r>
      <w:r>
        <w:rPr>
          <w:rFonts w:hint="eastAsia" w:ascii="黑体" w:hAnsi="黑体" w:eastAsia="黑体" w:cs="黑体"/>
          <w:b w:val="0"/>
          <w:bCs/>
          <w:sz w:val="28"/>
          <w:szCs w:val="28"/>
          <w:lang w:val="en-US" w:eastAsia="zh-CN"/>
        </w:rPr>
        <w:t xml:space="preserve"> </w:t>
      </w:r>
      <w:r>
        <w:rPr>
          <w:rFonts w:hint="eastAsia" w:hAnsi="黑体" w:cs="黑体"/>
          <w:b w:val="0"/>
          <w:bCs/>
          <w:sz w:val="28"/>
          <w:szCs w:val="28"/>
          <w:lang w:eastAsia="zh-CN"/>
        </w:rPr>
        <w:t>附件</w:t>
      </w:r>
    </w:p>
    <w:p w14:paraId="2E7F14A9">
      <w:pPr>
        <w:pStyle w:val="14"/>
        <w:jc w:val="center"/>
        <w:rPr>
          <w:rFonts w:hint="eastAsia" w:ascii="方正小标宋_GBK" w:hAnsi="方正小标宋_GBK" w:eastAsia="方正小标宋_GBK" w:cs="方正小标宋_GBK"/>
          <w:sz w:val="84"/>
          <w:szCs w:val="84"/>
        </w:rPr>
      </w:pPr>
    </w:p>
    <w:p w14:paraId="1095DEAB">
      <w:pPr>
        <w:pStyle w:val="14"/>
        <w:jc w:val="center"/>
        <w:rPr>
          <w:rFonts w:hint="eastAsia" w:ascii="方正小标宋_GBK" w:hAnsi="方正小标宋_GBK" w:eastAsia="方正小标宋_GBK" w:cs="方正小标宋_GBK"/>
          <w:sz w:val="84"/>
          <w:szCs w:val="84"/>
        </w:rPr>
      </w:pPr>
    </w:p>
    <w:p w14:paraId="0DEEC249">
      <w:pPr>
        <w:pStyle w:val="14"/>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 xml:space="preserve">第一部分 </w:t>
      </w:r>
    </w:p>
    <w:p w14:paraId="5C6A94F8">
      <w:pPr>
        <w:pStyle w:val="14"/>
        <w:jc w:val="center"/>
        <w:rPr>
          <w:rFonts w:hint="eastAsia" w:ascii="方正小标宋_GBK" w:hAnsi="方正小标宋_GBK" w:eastAsia="方正小标宋_GBK" w:cs="方正小标宋_GBK"/>
          <w:sz w:val="84"/>
          <w:szCs w:val="84"/>
        </w:rPr>
      </w:pPr>
    </w:p>
    <w:p w14:paraId="5EF69A9D">
      <w:pPr>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lang w:val="en-US" w:eastAsia="zh-CN"/>
        </w:rPr>
        <w:t>岳阳市中心血站</w:t>
      </w:r>
      <w:r>
        <w:rPr>
          <w:rFonts w:hint="eastAsia" w:ascii="方正小标宋_GBK" w:hAnsi="方正小标宋_GBK" w:eastAsia="方正小标宋_GBK" w:cs="方正小标宋_GBK"/>
          <w:sz w:val="84"/>
          <w:szCs w:val="84"/>
        </w:rPr>
        <w:t>单位概况</w:t>
      </w:r>
    </w:p>
    <w:p w14:paraId="77A0C778">
      <w:pPr>
        <w:pStyle w:val="6"/>
        <w:rPr>
          <w:rFonts w:hint="eastAsia" w:ascii="方正小标宋_GBK" w:hAnsi="方正小标宋_GBK" w:eastAsia="方正小标宋_GBK" w:cs="方正小标宋_GBK"/>
          <w:sz w:val="84"/>
          <w:szCs w:val="84"/>
        </w:rPr>
      </w:pPr>
    </w:p>
    <w:p w14:paraId="397AC3FB">
      <w:pPr>
        <w:pStyle w:val="7"/>
        <w:rPr>
          <w:rFonts w:hint="eastAsia" w:ascii="方正小标宋_GBK" w:hAnsi="方正小标宋_GBK" w:eastAsia="方正小标宋_GBK" w:cs="方正小标宋_GBK"/>
          <w:sz w:val="84"/>
          <w:szCs w:val="84"/>
        </w:rPr>
      </w:pPr>
    </w:p>
    <w:p w14:paraId="13F2C40A">
      <w:pPr>
        <w:rPr>
          <w:rFonts w:hint="eastAsia" w:ascii="方正小标宋_GBK" w:hAnsi="方正小标宋_GBK" w:eastAsia="方正小标宋_GBK" w:cs="方正小标宋_GBK"/>
          <w:sz w:val="84"/>
          <w:szCs w:val="84"/>
        </w:rPr>
      </w:pPr>
    </w:p>
    <w:p w14:paraId="128B0AE2">
      <w:pPr>
        <w:pStyle w:val="6"/>
        <w:rPr>
          <w:rFonts w:hint="eastAsia" w:ascii="方正小标宋_GBK" w:hAnsi="方正小标宋_GBK" w:eastAsia="方正小标宋_GBK" w:cs="方正小标宋_GBK"/>
          <w:sz w:val="84"/>
          <w:szCs w:val="84"/>
        </w:rPr>
      </w:pPr>
    </w:p>
    <w:p w14:paraId="1469560B">
      <w:pPr>
        <w:pStyle w:val="7"/>
        <w:rPr>
          <w:rFonts w:hint="eastAsia" w:ascii="方正小标宋_GBK" w:hAnsi="方正小标宋_GBK" w:eastAsia="方正小标宋_GBK" w:cs="方正小标宋_GBK"/>
          <w:sz w:val="84"/>
          <w:szCs w:val="84"/>
        </w:rPr>
      </w:pPr>
    </w:p>
    <w:p w14:paraId="55E857AF">
      <w:pPr>
        <w:pStyle w:val="15"/>
        <w:numPr>
          <w:ilvl w:val="0"/>
          <w:numId w:val="0"/>
        </w:numPr>
        <w:ind w:leftChars="0" w:firstLine="640" w:firstLineChars="200"/>
        <w:jc w:val="left"/>
        <w:rPr>
          <w:rFonts w:hint="eastAsia" w:ascii="黑体" w:hAnsi="黑体" w:eastAsia="黑体" w:cs="黑体"/>
          <w:b w:val="0"/>
          <w:bCs w:val="0"/>
          <w:sz w:val="32"/>
          <w:szCs w:val="32"/>
        </w:rPr>
      </w:pPr>
      <w:r>
        <w:rPr>
          <w:rFonts w:hint="eastAsia" w:ascii="黑体" w:hAnsi="黑体" w:eastAsia="黑体" w:cs="黑体"/>
          <w:b w:val="0"/>
          <w:bCs w:val="0"/>
          <w:sz w:val="32"/>
          <w:szCs w:val="32"/>
          <w:lang w:val="en-US" w:eastAsia="zh-CN"/>
        </w:rPr>
        <w:t>一、</w:t>
      </w:r>
      <w:r>
        <w:rPr>
          <w:rFonts w:hint="eastAsia" w:ascii="黑体" w:hAnsi="黑体" w:eastAsia="黑体" w:cs="黑体"/>
          <w:b w:val="0"/>
          <w:bCs w:val="0"/>
          <w:sz w:val="32"/>
          <w:szCs w:val="32"/>
        </w:rPr>
        <w:t>部门职责</w:t>
      </w:r>
    </w:p>
    <w:p w14:paraId="13FEC039">
      <w:pPr>
        <w:keepNext/>
        <w:keepLines/>
        <w:shd w:val="clear" w:color="auto" w:fill="FFFFFF"/>
        <w:spacing w:beforeLines="0" w:afterLines="0"/>
        <w:ind w:firstLine="640"/>
        <w:jc w:val="left"/>
        <w:rPr>
          <w:rFonts w:hint="eastAsia" w:ascii="Times New Roman" w:hAnsi="Times New Roman" w:eastAsia="仿宋_GB2312" w:cs="仿宋_GB2312"/>
          <w:sz w:val="32"/>
          <w:szCs w:val="32"/>
        </w:rPr>
      </w:pPr>
      <w:r>
        <w:rPr>
          <w:rFonts w:hint="eastAsia" w:ascii="Times New Roman" w:hAnsi="Times New Roman" w:eastAsia="仿宋_GB2312" w:cs="仿宋_GB2312"/>
          <w:kern w:val="0"/>
          <w:sz w:val="32"/>
          <w:szCs w:val="32"/>
          <w:lang w:val="en-US" w:eastAsia="zh-CN"/>
        </w:rPr>
        <w:t>岳阳市中心血站</w:t>
      </w:r>
      <w:r>
        <w:rPr>
          <w:rFonts w:hint="eastAsia" w:ascii="Times New Roman" w:hAnsi="Times New Roman" w:eastAsia="仿宋_GB2312" w:cs="仿宋_GB2312"/>
          <w:kern w:val="0"/>
          <w:sz w:val="32"/>
          <w:szCs w:val="32"/>
        </w:rPr>
        <w:t>主要负责全市无偿献血、献髓（白血病造血干细胞配型）工作的宣传、健教、回访及临床用血的采集、检测（含艾滋病、丙肝检测）、制备、储存、供应、质控及无偿献血用血报销等工作</w:t>
      </w:r>
      <w:r>
        <w:rPr>
          <w:rFonts w:hint="eastAsia" w:ascii="Times New Roman" w:hAnsi="Times New Roman" w:eastAsia="仿宋_GB2312" w:cs="仿宋_GB2312"/>
          <w:kern w:val="0"/>
          <w:sz w:val="32"/>
          <w:szCs w:val="32"/>
          <w:lang w:eastAsia="zh-CN"/>
        </w:rPr>
        <w:t>。</w:t>
      </w:r>
      <w:r>
        <w:rPr>
          <w:rFonts w:hint="eastAsia" w:ascii="Times New Roman" w:hAnsi="Times New Roman" w:eastAsia="仿宋_GB2312" w:cs="仿宋_GB2312"/>
          <w:kern w:val="0"/>
          <w:sz w:val="32"/>
          <w:szCs w:val="32"/>
          <w:lang w:val="en-US" w:eastAsia="zh-CN"/>
        </w:rPr>
        <w:t>2024年完成</w:t>
      </w:r>
      <w:r>
        <w:rPr>
          <w:rFonts w:hint="eastAsia" w:ascii="Times New Roman" w:hAnsi="Times New Roman" w:eastAsia="仿宋_GB2312" w:cs="仿宋_GB2312"/>
          <w:kern w:val="0"/>
          <w:sz w:val="32"/>
          <w:szCs w:val="32"/>
        </w:rPr>
        <w:t>全市医疗机构及湘雅医院（部分）</w:t>
      </w:r>
      <w:r>
        <w:rPr>
          <w:rFonts w:hint="eastAsia" w:ascii="Times New Roman" w:hAnsi="Times New Roman" w:eastAsia="仿宋_GB2312" w:cs="仿宋_GB2312"/>
          <w:kern w:val="0"/>
          <w:sz w:val="32"/>
          <w:szCs w:val="32"/>
          <w:lang w:val="en-US" w:eastAsia="zh-CN"/>
        </w:rPr>
        <w:t>等</w:t>
      </w:r>
      <w:r>
        <w:rPr>
          <w:rFonts w:hint="eastAsia" w:ascii="Times New Roman" w:hAnsi="Times New Roman" w:eastAsia="仿宋_GB2312" w:cs="仿宋_GB2312"/>
          <w:color w:val="auto"/>
          <w:kern w:val="0"/>
          <w:sz w:val="32"/>
          <w:szCs w:val="32"/>
          <w:lang w:val="en-US" w:eastAsia="zh-CN"/>
        </w:rPr>
        <w:t>41.54</w:t>
      </w:r>
      <w:r>
        <w:rPr>
          <w:rFonts w:hint="eastAsia" w:ascii="Times New Roman" w:hAnsi="Times New Roman" w:eastAsia="仿宋_GB2312" w:cs="仿宋_GB2312"/>
          <w:color w:val="auto"/>
          <w:kern w:val="0"/>
          <w:sz w:val="32"/>
          <w:szCs w:val="32"/>
        </w:rPr>
        <w:t>吨</w:t>
      </w:r>
      <w:r>
        <w:rPr>
          <w:rFonts w:hint="eastAsia" w:ascii="Times New Roman" w:hAnsi="Times New Roman" w:eastAsia="仿宋_GB2312" w:cs="仿宋_GB2312"/>
          <w:color w:val="auto"/>
          <w:kern w:val="0"/>
          <w:sz w:val="32"/>
          <w:szCs w:val="32"/>
          <w:lang w:val="en-US" w:eastAsia="zh-CN"/>
        </w:rPr>
        <w:t>临床供血任务（包括红细胞、血浆、血小板、冷沉淀）</w:t>
      </w:r>
      <w:r>
        <w:rPr>
          <w:rFonts w:hint="eastAsia" w:ascii="Times New Roman" w:hAnsi="Times New Roman" w:eastAsia="仿宋_GB2312" w:cs="仿宋_GB2312"/>
          <w:color w:val="auto"/>
          <w:kern w:val="0"/>
          <w:sz w:val="32"/>
          <w:szCs w:val="32"/>
        </w:rPr>
        <w:t>。通过多年的建设与发展，现已成为集采血、供应、检</w:t>
      </w:r>
      <w:r>
        <w:rPr>
          <w:rFonts w:hint="eastAsia" w:ascii="Times New Roman" w:hAnsi="Times New Roman" w:eastAsia="仿宋_GB2312" w:cs="仿宋_GB2312"/>
          <w:kern w:val="0"/>
          <w:sz w:val="32"/>
          <w:szCs w:val="32"/>
        </w:rPr>
        <w:t>验、质控、宣传招募、志愿服务</w:t>
      </w:r>
      <w:r>
        <w:rPr>
          <w:rFonts w:hint="eastAsia" w:eastAsia="仿宋_GB2312" w:cs="仿宋_GB2312"/>
          <w:kern w:val="0"/>
          <w:sz w:val="32"/>
          <w:szCs w:val="32"/>
        </w:rPr>
        <w:t>及输血科研于一体的综合性</w:t>
      </w:r>
      <w:r>
        <w:rPr>
          <w:rFonts w:hint="eastAsia" w:eastAsia="仿宋_GB2312" w:cs="仿宋_GB2312"/>
          <w:kern w:val="0"/>
          <w:sz w:val="32"/>
          <w:szCs w:val="32"/>
          <w:lang w:eastAsia="zh-CN"/>
        </w:rPr>
        <w:t>、</w:t>
      </w:r>
      <w:r>
        <w:rPr>
          <w:rFonts w:hint="eastAsia" w:eastAsia="仿宋_GB2312" w:cs="仿宋_GB2312"/>
          <w:kern w:val="0"/>
          <w:sz w:val="32"/>
          <w:szCs w:val="32"/>
        </w:rPr>
        <w:t>公益性采供血卫生单位。</w:t>
      </w:r>
    </w:p>
    <w:p w14:paraId="2DC82B10">
      <w:pPr>
        <w:widowControl/>
        <w:spacing w:line="600" w:lineRule="exact"/>
        <w:ind w:firstLine="640" w:firstLineChars="200"/>
        <w:rPr>
          <w:rFonts w:hint="eastAsia" w:ascii="黑体" w:hAnsi="黑体" w:eastAsia="黑体" w:cs="黑体"/>
          <w:b w:val="0"/>
          <w:bCs/>
          <w:kern w:val="0"/>
          <w:sz w:val="32"/>
          <w:szCs w:val="32"/>
        </w:rPr>
      </w:pPr>
      <w:r>
        <w:rPr>
          <w:rFonts w:hint="eastAsia" w:ascii="黑体" w:hAnsi="黑体" w:eastAsia="黑体" w:cs="黑体"/>
          <w:b w:val="0"/>
          <w:bCs/>
          <w:kern w:val="0"/>
          <w:sz w:val="32"/>
          <w:szCs w:val="32"/>
        </w:rPr>
        <w:t>二、机构设置及决算单位构成</w:t>
      </w:r>
    </w:p>
    <w:p w14:paraId="38AE043A">
      <w:pPr>
        <w:widowControl/>
        <w:spacing w:line="600" w:lineRule="exact"/>
        <w:ind w:firstLine="640" w:firstLineChars="200"/>
        <w:rPr>
          <w:rFonts w:hint="eastAsia"/>
        </w:rPr>
      </w:pPr>
      <w:r>
        <w:rPr>
          <w:rFonts w:hint="eastAsia" w:ascii="Times New Roman" w:hAnsi="Times New Roman" w:eastAsia="仿宋_GB2312" w:cs="仿宋_GB2312"/>
          <w:bCs/>
          <w:kern w:val="0"/>
          <w:sz w:val="32"/>
          <w:szCs w:val="32"/>
        </w:rPr>
        <w:t>（一）内设机构设置。</w:t>
      </w:r>
      <w:r>
        <w:rPr>
          <w:rFonts w:hint="eastAsia" w:ascii="Times New Roman" w:hAnsi="Times New Roman" w:eastAsia="仿宋_GB2312" w:cs="仿宋_GB2312"/>
          <w:kern w:val="0"/>
          <w:sz w:val="32"/>
          <w:szCs w:val="32"/>
        </w:rPr>
        <w:t>岳阳市中心血站建于1988年，是岳阳市卫生健康委下属副处级公益</w:t>
      </w:r>
      <w:r>
        <w:rPr>
          <w:rFonts w:hint="eastAsia" w:ascii="Times New Roman" w:hAnsi="Times New Roman" w:eastAsia="仿宋_GB2312" w:cs="仿宋_GB2312"/>
          <w:kern w:val="0"/>
          <w:sz w:val="32"/>
          <w:szCs w:val="32"/>
          <w:lang w:val="en-US" w:eastAsia="zh-CN"/>
        </w:rPr>
        <w:t>二</w:t>
      </w:r>
      <w:r>
        <w:rPr>
          <w:rFonts w:hint="eastAsia" w:ascii="Times New Roman" w:hAnsi="Times New Roman" w:eastAsia="仿宋_GB2312" w:cs="仿宋_GB2312"/>
          <w:kern w:val="0"/>
          <w:sz w:val="32"/>
          <w:szCs w:val="32"/>
        </w:rPr>
        <w:t>类卫生单位，经费渠道为差额拨款（实际上自收自支），</w:t>
      </w:r>
      <w:r>
        <w:rPr>
          <w:rFonts w:hint="eastAsia" w:ascii="Times New Roman" w:hAnsi="Times New Roman" w:eastAsia="仿宋_GB2312" w:cs="仿宋_GB2312"/>
          <w:kern w:val="0"/>
          <w:sz w:val="32"/>
          <w:szCs w:val="32"/>
          <w:lang w:eastAsia="zh-CN"/>
        </w:rPr>
        <w:t>实行</w:t>
      </w:r>
      <w:r>
        <w:rPr>
          <w:rFonts w:hint="eastAsia" w:ascii="Times New Roman" w:hAnsi="Times New Roman" w:eastAsia="仿宋_GB2312" w:cs="仿宋_GB2312"/>
          <w:kern w:val="0"/>
          <w:sz w:val="32"/>
          <w:szCs w:val="32"/>
        </w:rPr>
        <w:t>收支两条线管理。设有</w:t>
      </w:r>
      <w:r>
        <w:rPr>
          <w:rFonts w:hint="eastAsia" w:ascii="Times New Roman" w:hAnsi="Times New Roman" w:eastAsia="仿宋_GB2312" w:cs="仿宋_GB2312"/>
          <w:kern w:val="0"/>
          <w:sz w:val="32"/>
          <w:szCs w:val="32"/>
          <w:lang w:val="en-US" w:eastAsia="zh-CN"/>
        </w:rPr>
        <w:t>综合部</w:t>
      </w:r>
      <w:r>
        <w:rPr>
          <w:rFonts w:hint="eastAsia" w:ascii="Times New Roman" w:hAnsi="Times New Roman" w:eastAsia="仿宋_GB2312" w:cs="仿宋_GB2312"/>
          <w:kern w:val="0"/>
          <w:sz w:val="32"/>
          <w:szCs w:val="32"/>
        </w:rPr>
        <w:t>、党委</w:t>
      </w:r>
      <w:r>
        <w:rPr>
          <w:rFonts w:hint="eastAsia" w:ascii="Times New Roman" w:hAnsi="Times New Roman" w:eastAsia="仿宋_GB2312" w:cs="仿宋_GB2312"/>
          <w:kern w:val="0"/>
          <w:sz w:val="32"/>
          <w:szCs w:val="32"/>
          <w:lang w:val="en-US" w:eastAsia="zh-CN"/>
        </w:rPr>
        <w:t>办</w:t>
      </w:r>
      <w:r>
        <w:rPr>
          <w:rFonts w:hint="eastAsia" w:ascii="Times New Roman" w:hAnsi="Times New Roman" w:eastAsia="仿宋_GB2312" w:cs="仿宋_GB2312"/>
          <w:kern w:val="0"/>
          <w:sz w:val="32"/>
          <w:szCs w:val="32"/>
        </w:rPr>
        <w:t>、财务</w:t>
      </w:r>
      <w:r>
        <w:rPr>
          <w:rFonts w:hint="eastAsia" w:ascii="Times New Roman" w:hAnsi="Times New Roman" w:eastAsia="仿宋_GB2312" w:cs="仿宋_GB2312"/>
          <w:kern w:val="0"/>
          <w:sz w:val="32"/>
          <w:szCs w:val="32"/>
          <w:lang w:val="en-US" w:eastAsia="zh-CN"/>
        </w:rPr>
        <w:t>部等6</w:t>
      </w:r>
      <w:r>
        <w:rPr>
          <w:rFonts w:hint="eastAsia" w:ascii="Times New Roman" w:hAnsi="Times New Roman" w:eastAsia="仿宋_GB2312" w:cs="仿宋_GB2312"/>
          <w:kern w:val="0"/>
          <w:sz w:val="32"/>
          <w:szCs w:val="32"/>
        </w:rPr>
        <w:t>个服务科室和献血管理</w:t>
      </w:r>
      <w:r>
        <w:rPr>
          <w:rFonts w:hint="eastAsia" w:ascii="Times New Roman" w:hAnsi="Times New Roman" w:eastAsia="仿宋_GB2312" w:cs="仿宋_GB2312"/>
          <w:kern w:val="0"/>
          <w:sz w:val="32"/>
          <w:szCs w:val="32"/>
          <w:lang w:val="en-US" w:eastAsia="zh-CN"/>
        </w:rPr>
        <w:t>部</w:t>
      </w:r>
      <w:r>
        <w:rPr>
          <w:rFonts w:hint="eastAsia" w:ascii="Times New Roman" w:hAnsi="Times New Roman" w:eastAsia="仿宋_GB2312" w:cs="仿宋_GB2312"/>
          <w:kern w:val="0"/>
          <w:sz w:val="32"/>
          <w:szCs w:val="32"/>
        </w:rPr>
        <w:t>、供血管理</w:t>
      </w:r>
      <w:r>
        <w:rPr>
          <w:rFonts w:hint="eastAsia" w:ascii="Times New Roman" w:hAnsi="Times New Roman" w:eastAsia="仿宋_GB2312" w:cs="仿宋_GB2312"/>
          <w:kern w:val="0"/>
          <w:sz w:val="32"/>
          <w:szCs w:val="32"/>
          <w:lang w:val="en-US" w:eastAsia="zh-CN"/>
        </w:rPr>
        <w:t>部</w:t>
      </w:r>
      <w:r>
        <w:rPr>
          <w:rFonts w:hint="eastAsia" w:ascii="Times New Roman" w:hAnsi="Times New Roman" w:eastAsia="仿宋_GB2312" w:cs="仿宋_GB2312"/>
          <w:kern w:val="0"/>
          <w:sz w:val="32"/>
          <w:szCs w:val="32"/>
        </w:rPr>
        <w:t>、业务质管</w:t>
      </w:r>
      <w:r>
        <w:rPr>
          <w:rFonts w:hint="eastAsia" w:ascii="Times New Roman" w:hAnsi="Times New Roman" w:eastAsia="仿宋_GB2312" w:cs="仿宋_GB2312"/>
          <w:kern w:val="0"/>
          <w:sz w:val="32"/>
          <w:szCs w:val="32"/>
          <w:lang w:val="en-US" w:eastAsia="zh-CN"/>
        </w:rPr>
        <w:t>部</w:t>
      </w:r>
      <w:r>
        <w:rPr>
          <w:rFonts w:hint="eastAsia" w:ascii="Times New Roman" w:hAnsi="Times New Roman" w:eastAsia="仿宋_GB2312" w:cs="仿宋_GB2312"/>
          <w:kern w:val="0"/>
          <w:sz w:val="32"/>
          <w:szCs w:val="32"/>
        </w:rPr>
        <w:t>等</w:t>
      </w:r>
      <w:r>
        <w:rPr>
          <w:rFonts w:hint="eastAsia" w:ascii="Times New Roman" w:hAnsi="Times New Roman" w:eastAsia="仿宋_GB2312" w:cs="仿宋_GB2312"/>
          <w:kern w:val="0"/>
          <w:sz w:val="32"/>
          <w:szCs w:val="32"/>
          <w:lang w:val="en-US" w:eastAsia="zh-CN"/>
        </w:rPr>
        <w:t>4</w:t>
      </w:r>
      <w:r>
        <w:rPr>
          <w:rFonts w:hint="eastAsia" w:ascii="Times New Roman" w:hAnsi="Times New Roman" w:eastAsia="仿宋_GB2312" w:cs="仿宋_GB2312"/>
          <w:kern w:val="0"/>
          <w:sz w:val="32"/>
          <w:szCs w:val="32"/>
        </w:rPr>
        <w:t>个业务科室，在全市设有固定和流动采血点14个，储血点21个</w:t>
      </w:r>
      <w:r>
        <w:rPr>
          <w:rFonts w:hint="eastAsia" w:ascii="Times New Roman" w:hAnsi="Times New Roman" w:eastAsia="仿宋_GB2312" w:cs="仿宋_GB2312"/>
          <w:kern w:val="0"/>
          <w:sz w:val="32"/>
          <w:szCs w:val="32"/>
          <w:lang w:eastAsia="zh-CN"/>
        </w:rPr>
        <w:t>。</w:t>
      </w:r>
      <w:r>
        <w:rPr>
          <w:rFonts w:hint="eastAsia" w:ascii="Times New Roman" w:hAnsi="Times New Roman" w:eastAsia="仿宋_GB2312" w:cs="仿宋_GB2312"/>
          <w:kern w:val="0"/>
          <w:sz w:val="32"/>
          <w:szCs w:val="32"/>
        </w:rPr>
        <w:t>在岗干部职工</w:t>
      </w:r>
      <w:r>
        <w:rPr>
          <w:rFonts w:hint="eastAsia" w:ascii="Times New Roman" w:hAnsi="Times New Roman" w:eastAsia="仿宋_GB2312" w:cs="仿宋_GB2312"/>
          <w:kern w:val="0"/>
          <w:sz w:val="32"/>
          <w:szCs w:val="32"/>
          <w:lang w:val="en-US" w:eastAsia="zh-CN"/>
        </w:rPr>
        <w:t>140</w:t>
      </w:r>
      <w:r>
        <w:rPr>
          <w:rFonts w:hint="eastAsia" w:ascii="Times New Roman" w:hAnsi="Times New Roman" w:eastAsia="仿宋_GB2312" w:cs="仿宋_GB2312"/>
          <w:kern w:val="0"/>
          <w:sz w:val="32"/>
          <w:szCs w:val="32"/>
        </w:rPr>
        <w:t>人。</w:t>
      </w:r>
    </w:p>
    <w:p w14:paraId="38152785">
      <w:pPr>
        <w:widowControl/>
        <w:spacing w:line="600" w:lineRule="exact"/>
        <w:ind w:firstLine="640" w:firstLineChars="200"/>
      </w:pPr>
      <w:r>
        <w:rPr>
          <w:rFonts w:hint="eastAsia" w:ascii="Times New Roman" w:hAnsi="Times New Roman" w:eastAsia="仿宋_GB2312" w:cs="仿宋_GB2312"/>
          <w:bCs/>
          <w:kern w:val="0"/>
          <w:sz w:val="32"/>
          <w:szCs w:val="32"/>
        </w:rPr>
        <w:t>（二）决算单位构成。</w:t>
      </w:r>
      <w:r>
        <w:rPr>
          <w:rFonts w:hint="eastAsia" w:ascii="Times New Roman" w:hAnsi="Times New Roman" w:eastAsia="仿宋_GB2312" w:cs="仿宋_GB2312"/>
          <w:bCs/>
          <w:kern w:val="0"/>
          <w:sz w:val="32"/>
          <w:szCs w:val="32"/>
          <w:lang w:val="en-US" w:eastAsia="zh-CN"/>
        </w:rPr>
        <w:t>岳阳市中心血站</w:t>
      </w:r>
      <w:r>
        <w:rPr>
          <w:rFonts w:hint="eastAsia" w:ascii="Times New Roman" w:hAnsi="Times New Roman" w:eastAsia="仿宋_GB2312" w:cs="仿宋_GB2312"/>
          <w:bCs/>
          <w:kern w:val="0"/>
          <w:sz w:val="32"/>
          <w:szCs w:val="32"/>
        </w:rPr>
        <w:t>202</w:t>
      </w:r>
      <w:r>
        <w:rPr>
          <w:rFonts w:hint="eastAsia" w:ascii="Times New Roman" w:hAnsi="Times New Roman" w:eastAsia="仿宋_GB2312" w:cs="仿宋_GB2312"/>
          <w:bCs/>
          <w:kern w:val="0"/>
          <w:sz w:val="32"/>
          <w:szCs w:val="32"/>
          <w:lang w:val="en-US" w:eastAsia="zh-CN"/>
        </w:rPr>
        <w:t>4</w:t>
      </w:r>
      <w:r>
        <w:rPr>
          <w:rFonts w:hint="eastAsia" w:ascii="Times New Roman" w:hAnsi="Times New Roman" w:eastAsia="仿宋_GB2312" w:cs="仿宋_GB2312"/>
          <w:bCs/>
          <w:kern w:val="0"/>
          <w:sz w:val="32"/>
          <w:szCs w:val="32"/>
        </w:rPr>
        <w:t>年部门决算汇总公开单位构成包括：</w:t>
      </w:r>
      <w:r>
        <w:rPr>
          <w:rFonts w:hint="eastAsia" w:ascii="Times New Roman" w:hAnsi="Times New Roman" w:eastAsia="仿宋_GB2312" w:cs="仿宋_GB2312"/>
          <w:bCs/>
          <w:kern w:val="0"/>
          <w:sz w:val="32"/>
          <w:szCs w:val="32"/>
          <w:lang w:val="en-US" w:eastAsia="zh-CN"/>
        </w:rPr>
        <w:t>本单位无独立核算的下属单位，2024年度部门决算汇总公开单位仅包括岳阳市中心血站</w:t>
      </w:r>
      <w:r>
        <w:rPr>
          <w:rFonts w:hint="eastAsia" w:ascii="Times New Roman" w:hAnsi="Times New Roman" w:eastAsia="仿宋_GB2312" w:cs="仿宋_GB2312"/>
          <w:bCs/>
          <w:kern w:val="0"/>
          <w:sz w:val="32"/>
          <w:szCs w:val="32"/>
        </w:rPr>
        <w:t>单位本级</w:t>
      </w:r>
      <w:r>
        <w:rPr>
          <w:rFonts w:hint="eastAsia" w:ascii="Times New Roman" w:hAnsi="Times New Roman" w:eastAsia="仿宋_GB2312" w:cs="仿宋_GB2312"/>
          <w:bCs/>
          <w:kern w:val="0"/>
          <w:sz w:val="32"/>
          <w:szCs w:val="32"/>
          <w:lang w:eastAsia="zh-CN"/>
        </w:rPr>
        <w:t>。</w:t>
      </w:r>
    </w:p>
    <w:p w14:paraId="3CE56614">
      <w:pPr>
        <w:pStyle w:val="6"/>
      </w:pPr>
    </w:p>
    <w:p w14:paraId="70B4D569">
      <w:pPr>
        <w:pStyle w:val="7"/>
      </w:pPr>
    </w:p>
    <w:p w14:paraId="5B1D6CBC"/>
    <w:p w14:paraId="7D6C31E4">
      <w:pPr>
        <w:pStyle w:val="6"/>
      </w:pPr>
    </w:p>
    <w:p w14:paraId="056E4ECA">
      <w:pPr>
        <w:pStyle w:val="7"/>
      </w:pPr>
    </w:p>
    <w:p w14:paraId="3288C9C5"/>
    <w:p w14:paraId="14507043">
      <w:pPr>
        <w:pStyle w:val="6"/>
      </w:pPr>
    </w:p>
    <w:p w14:paraId="465EA8BD">
      <w:pPr>
        <w:pStyle w:val="7"/>
      </w:pPr>
    </w:p>
    <w:p w14:paraId="49E51758"/>
    <w:p w14:paraId="3DC8C6CD">
      <w:pPr>
        <w:pStyle w:val="6"/>
      </w:pPr>
    </w:p>
    <w:p w14:paraId="36E702E5">
      <w:pPr>
        <w:pStyle w:val="7"/>
      </w:pPr>
    </w:p>
    <w:p w14:paraId="0416550A"/>
    <w:p w14:paraId="28B49BCE">
      <w:pPr>
        <w:pStyle w:val="6"/>
      </w:pPr>
    </w:p>
    <w:p w14:paraId="43291855">
      <w:pPr>
        <w:pStyle w:val="7"/>
      </w:pPr>
    </w:p>
    <w:p w14:paraId="7CD92489"/>
    <w:p w14:paraId="5267F12B">
      <w:pPr>
        <w:pStyle w:val="6"/>
      </w:pPr>
    </w:p>
    <w:p w14:paraId="28828498">
      <w:pPr>
        <w:pStyle w:val="7"/>
      </w:pPr>
    </w:p>
    <w:p w14:paraId="04E62672"/>
    <w:p w14:paraId="1D6D7A8B">
      <w:pPr>
        <w:pStyle w:val="6"/>
      </w:pPr>
    </w:p>
    <w:p w14:paraId="2E47952B">
      <w:pPr>
        <w:pStyle w:val="7"/>
      </w:pPr>
    </w:p>
    <w:p w14:paraId="18A19BE5"/>
    <w:p w14:paraId="631ECAA5">
      <w:pPr>
        <w:pStyle w:val="14"/>
        <w:jc w:val="center"/>
        <w:rPr>
          <w:rFonts w:hint="eastAsia" w:ascii="方正小标宋_GBK" w:hAnsi="方正小标宋_GBK" w:eastAsia="方正小标宋_GBK" w:cs="方正小标宋_GBK"/>
          <w:sz w:val="84"/>
          <w:szCs w:val="84"/>
        </w:rPr>
      </w:pPr>
    </w:p>
    <w:p w14:paraId="661BBFC8">
      <w:pPr>
        <w:pStyle w:val="14"/>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第二部分</w:t>
      </w:r>
    </w:p>
    <w:p w14:paraId="5FB02ED5">
      <w:pPr>
        <w:pStyle w:val="14"/>
        <w:jc w:val="center"/>
        <w:rPr>
          <w:rFonts w:hint="eastAsia" w:ascii="方正小标宋_GBK" w:hAnsi="方正小标宋_GBK" w:eastAsia="方正小标宋_GBK" w:cs="方正小标宋_GBK"/>
          <w:sz w:val="84"/>
          <w:szCs w:val="84"/>
        </w:rPr>
      </w:pPr>
    </w:p>
    <w:p w14:paraId="3860F185">
      <w:pPr>
        <w:pStyle w:val="14"/>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部门决算表</w:t>
      </w:r>
    </w:p>
    <w:p w14:paraId="50A5962C">
      <w:pPr>
        <w:pStyle w:val="14"/>
        <w:jc w:val="center"/>
        <w:rPr>
          <w:rFonts w:hint="eastAsia" w:ascii="仿宋_GB2312" w:hAnsi="仿宋_GB2312" w:eastAsia="仿宋_GB2312" w:cs="仿宋_GB2312"/>
          <w:b w:val="0"/>
          <w:bCs w:val="0"/>
          <w:sz w:val="72"/>
          <w:szCs w:val="72"/>
          <w:lang w:eastAsia="zh-CN"/>
        </w:rPr>
      </w:pPr>
      <w:r>
        <w:rPr>
          <w:rFonts w:hint="eastAsia" w:ascii="仿宋_GB2312" w:hAnsi="仿宋_GB2312" w:eastAsia="仿宋_GB2312" w:cs="仿宋_GB2312"/>
          <w:b w:val="0"/>
          <w:bCs w:val="0"/>
          <w:sz w:val="72"/>
          <w:szCs w:val="72"/>
          <w:lang w:eastAsia="zh-CN"/>
        </w:rPr>
        <w:t>（见附件）</w:t>
      </w:r>
    </w:p>
    <w:p w14:paraId="325AF5B5">
      <w:pPr>
        <w:pStyle w:val="14"/>
        <w:jc w:val="center"/>
        <w:rPr>
          <w:rFonts w:hint="eastAsia" w:ascii="仿宋_GB2312" w:hAnsi="仿宋_GB2312" w:eastAsia="仿宋_GB2312" w:cs="仿宋_GB2312"/>
          <w:b w:val="0"/>
          <w:bCs w:val="0"/>
          <w:sz w:val="72"/>
          <w:szCs w:val="72"/>
          <w:lang w:eastAsia="zh-CN"/>
        </w:rPr>
      </w:pPr>
    </w:p>
    <w:p w14:paraId="0568D1B8">
      <w:pPr>
        <w:pStyle w:val="14"/>
        <w:jc w:val="center"/>
        <w:rPr>
          <w:rFonts w:hint="eastAsia" w:ascii="仿宋_GB2312" w:hAnsi="仿宋_GB2312" w:eastAsia="仿宋_GB2312" w:cs="仿宋_GB2312"/>
          <w:b w:val="0"/>
          <w:bCs w:val="0"/>
          <w:sz w:val="72"/>
          <w:szCs w:val="72"/>
          <w:lang w:eastAsia="zh-CN"/>
        </w:rPr>
      </w:pPr>
    </w:p>
    <w:p w14:paraId="5C65B646">
      <w:pPr>
        <w:pStyle w:val="14"/>
        <w:jc w:val="center"/>
        <w:rPr>
          <w:rFonts w:hint="eastAsia" w:ascii="仿宋_GB2312" w:hAnsi="仿宋_GB2312" w:eastAsia="仿宋_GB2312" w:cs="仿宋_GB2312"/>
          <w:b w:val="0"/>
          <w:bCs w:val="0"/>
          <w:sz w:val="72"/>
          <w:szCs w:val="72"/>
          <w:lang w:eastAsia="zh-CN"/>
        </w:rPr>
      </w:pPr>
    </w:p>
    <w:p w14:paraId="62EA5E89">
      <w:pPr>
        <w:pStyle w:val="14"/>
        <w:jc w:val="center"/>
        <w:rPr>
          <w:rFonts w:hint="eastAsia" w:ascii="仿宋_GB2312" w:hAnsi="仿宋_GB2312" w:eastAsia="仿宋_GB2312" w:cs="仿宋_GB2312"/>
          <w:b w:val="0"/>
          <w:bCs w:val="0"/>
          <w:sz w:val="72"/>
          <w:szCs w:val="72"/>
          <w:lang w:eastAsia="zh-CN"/>
        </w:rPr>
      </w:pPr>
    </w:p>
    <w:p w14:paraId="63BFFD84">
      <w:pPr>
        <w:pStyle w:val="14"/>
        <w:jc w:val="center"/>
        <w:rPr>
          <w:rFonts w:hint="eastAsia" w:ascii="仿宋_GB2312" w:hAnsi="仿宋_GB2312" w:eastAsia="仿宋_GB2312" w:cs="仿宋_GB2312"/>
          <w:b w:val="0"/>
          <w:bCs w:val="0"/>
          <w:sz w:val="72"/>
          <w:szCs w:val="72"/>
          <w:lang w:eastAsia="zh-CN"/>
        </w:rPr>
      </w:pPr>
    </w:p>
    <w:p w14:paraId="4565BABE">
      <w:pPr>
        <w:pStyle w:val="14"/>
        <w:jc w:val="center"/>
        <w:rPr>
          <w:rFonts w:hint="eastAsia" w:ascii="仿宋_GB2312" w:hAnsi="仿宋_GB2312" w:eastAsia="仿宋_GB2312" w:cs="仿宋_GB2312"/>
          <w:b w:val="0"/>
          <w:bCs w:val="0"/>
          <w:sz w:val="72"/>
          <w:szCs w:val="72"/>
          <w:lang w:eastAsia="zh-CN"/>
        </w:rPr>
      </w:pPr>
    </w:p>
    <w:p w14:paraId="6EEAB3EF">
      <w:pPr>
        <w:pStyle w:val="14"/>
        <w:jc w:val="center"/>
        <w:rPr>
          <w:rFonts w:hint="eastAsia" w:ascii="仿宋_GB2312" w:hAnsi="仿宋_GB2312" w:eastAsia="仿宋_GB2312" w:cs="仿宋_GB2312"/>
          <w:b w:val="0"/>
          <w:bCs w:val="0"/>
          <w:sz w:val="72"/>
          <w:szCs w:val="72"/>
          <w:lang w:eastAsia="zh-CN"/>
        </w:rPr>
      </w:pPr>
    </w:p>
    <w:p w14:paraId="603C04A7">
      <w:pPr>
        <w:pStyle w:val="14"/>
        <w:jc w:val="center"/>
        <w:rPr>
          <w:rFonts w:hint="eastAsia" w:ascii="方正小标宋_GBK" w:hAnsi="方正小标宋_GBK" w:eastAsia="方正小标宋_GBK" w:cs="方正小标宋_GBK"/>
          <w:sz w:val="72"/>
          <w:szCs w:val="72"/>
        </w:rPr>
      </w:pPr>
    </w:p>
    <w:p w14:paraId="7A44A82E">
      <w:pPr>
        <w:pStyle w:val="14"/>
        <w:jc w:val="center"/>
        <w:rPr>
          <w:rFonts w:hint="eastAsia" w:ascii="方正小标宋_GBK" w:hAnsi="方正小标宋_GBK" w:eastAsia="方正小标宋_GBK" w:cs="方正小标宋_GBK"/>
          <w:sz w:val="72"/>
          <w:szCs w:val="72"/>
        </w:rPr>
      </w:pPr>
    </w:p>
    <w:p w14:paraId="06211665">
      <w:pPr>
        <w:pStyle w:val="14"/>
        <w:jc w:val="both"/>
        <w:rPr>
          <w:rFonts w:hint="eastAsia" w:ascii="方正小标宋_GBK" w:hAnsi="方正小标宋_GBK" w:eastAsia="方正小标宋_GBK" w:cs="方正小标宋_GBK"/>
          <w:sz w:val="72"/>
          <w:szCs w:val="72"/>
        </w:rPr>
      </w:pPr>
    </w:p>
    <w:p w14:paraId="7804FBAA">
      <w:pPr>
        <w:pStyle w:val="14"/>
        <w:jc w:val="center"/>
        <w:rPr>
          <w:rFonts w:hint="eastAsia" w:ascii="方正小标宋_GBK" w:hAnsi="方正小标宋_GBK" w:eastAsia="方正小标宋_GBK" w:cs="方正小标宋_GBK"/>
          <w:sz w:val="72"/>
          <w:szCs w:val="72"/>
        </w:rPr>
      </w:pPr>
      <w:r>
        <w:rPr>
          <w:rFonts w:hint="eastAsia" w:ascii="方正小标宋_GBK" w:hAnsi="方正小标宋_GBK" w:eastAsia="方正小标宋_GBK" w:cs="方正小标宋_GBK"/>
          <w:sz w:val="72"/>
          <w:szCs w:val="72"/>
        </w:rPr>
        <w:t>第三部分</w:t>
      </w:r>
    </w:p>
    <w:p w14:paraId="7D53C949">
      <w:pPr>
        <w:pStyle w:val="14"/>
        <w:jc w:val="center"/>
        <w:rPr>
          <w:rFonts w:hint="eastAsia" w:ascii="方正小标宋_GBK" w:hAnsi="方正小标宋_GBK" w:eastAsia="方正小标宋_GBK" w:cs="方正小标宋_GBK"/>
          <w:sz w:val="70"/>
          <w:szCs w:val="70"/>
        </w:rPr>
      </w:pPr>
    </w:p>
    <w:p w14:paraId="4F77A5A6">
      <w:pPr>
        <w:pStyle w:val="14"/>
        <w:jc w:val="center"/>
        <w:rPr>
          <w:rFonts w:hint="eastAsia" w:ascii="方正小标宋_GBK" w:hAnsi="方正小标宋_GBK" w:eastAsia="方正小标宋_GBK" w:cs="方正小标宋_GBK"/>
          <w:sz w:val="70"/>
          <w:szCs w:val="70"/>
        </w:rPr>
      </w:pPr>
      <w:r>
        <w:rPr>
          <w:rFonts w:hint="eastAsia" w:ascii="方正小标宋_GBK" w:hAnsi="方正小标宋_GBK" w:eastAsia="方正小标宋_GBK" w:cs="方正小标宋_GBK"/>
          <w:sz w:val="70"/>
          <w:szCs w:val="70"/>
        </w:rPr>
        <w:t>202</w:t>
      </w:r>
      <w:r>
        <w:rPr>
          <w:rFonts w:hint="eastAsia" w:ascii="方正小标宋_GBK" w:hAnsi="方正小标宋_GBK" w:eastAsia="方正小标宋_GBK" w:cs="方正小标宋_GBK"/>
          <w:sz w:val="70"/>
          <w:szCs w:val="70"/>
          <w:lang w:val="en-US" w:eastAsia="zh-CN"/>
        </w:rPr>
        <w:t>4</w:t>
      </w:r>
      <w:r>
        <w:rPr>
          <w:rFonts w:hint="eastAsia" w:ascii="方正小标宋_GBK" w:hAnsi="方正小标宋_GBK" w:eastAsia="方正小标宋_GBK" w:cs="方正小标宋_GBK"/>
          <w:sz w:val="70"/>
          <w:szCs w:val="70"/>
        </w:rPr>
        <w:t>年度部门决算情况说明</w:t>
      </w:r>
    </w:p>
    <w:p w14:paraId="17862F93">
      <w:pPr>
        <w:pStyle w:val="14"/>
        <w:jc w:val="center"/>
        <w:rPr>
          <w:rFonts w:hint="eastAsia" w:ascii="方正小标宋_GBK" w:hAnsi="方正小标宋_GBK" w:eastAsia="方正小标宋_GBK" w:cs="方正小标宋_GBK"/>
          <w:sz w:val="70"/>
          <w:szCs w:val="70"/>
        </w:rPr>
      </w:pPr>
    </w:p>
    <w:p w14:paraId="6EEC30AB">
      <w:pPr>
        <w:pStyle w:val="14"/>
        <w:jc w:val="center"/>
        <w:rPr>
          <w:rFonts w:hint="eastAsia" w:ascii="方正小标宋_GBK" w:hAnsi="方正小标宋_GBK" w:eastAsia="方正小标宋_GBK" w:cs="方正小标宋_GBK"/>
          <w:sz w:val="70"/>
          <w:szCs w:val="70"/>
        </w:rPr>
      </w:pPr>
    </w:p>
    <w:p w14:paraId="417367C1">
      <w:pPr>
        <w:pStyle w:val="14"/>
        <w:jc w:val="center"/>
        <w:rPr>
          <w:rFonts w:hint="eastAsia" w:ascii="方正小标宋_GBK" w:hAnsi="方正小标宋_GBK" w:eastAsia="方正小标宋_GBK" w:cs="方正小标宋_GBK"/>
          <w:sz w:val="70"/>
          <w:szCs w:val="70"/>
        </w:rPr>
      </w:pPr>
    </w:p>
    <w:p w14:paraId="5EF1049C">
      <w:pPr>
        <w:pStyle w:val="14"/>
        <w:jc w:val="center"/>
        <w:rPr>
          <w:rFonts w:hint="eastAsia" w:ascii="方正小标宋_GBK" w:hAnsi="方正小标宋_GBK" w:eastAsia="方正小标宋_GBK" w:cs="方正小标宋_GBK"/>
          <w:sz w:val="70"/>
          <w:szCs w:val="70"/>
        </w:rPr>
      </w:pPr>
    </w:p>
    <w:p w14:paraId="7E4B3CF9">
      <w:pPr>
        <w:pStyle w:val="14"/>
        <w:jc w:val="center"/>
        <w:rPr>
          <w:rFonts w:hint="eastAsia" w:ascii="方正小标宋_GBK" w:hAnsi="方正小标宋_GBK" w:eastAsia="方正小标宋_GBK" w:cs="方正小标宋_GBK"/>
          <w:sz w:val="70"/>
          <w:szCs w:val="70"/>
        </w:rPr>
      </w:pPr>
    </w:p>
    <w:p w14:paraId="514C0722">
      <w:pPr>
        <w:pStyle w:val="14"/>
        <w:jc w:val="center"/>
        <w:rPr>
          <w:rFonts w:hint="eastAsia" w:ascii="方正小标宋_GBK" w:hAnsi="方正小标宋_GBK" w:eastAsia="方正小标宋_GBK" w:cs="方正小标宋_GBK"/>
          <w:sz w:val="70"/>
          <w:szCs w:val="70"/>
        </w:rPr>
      </w:pPr>
    </w:p>
    <w:p w14:paraId="111D7AB8">
      <w:pPr>
        <w:widowControl/>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说明：</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由于</w:t>
      </w:r>
      <w:r>
        <w:rPr>
          <w:rFonts w:hint="eastAsia" w:ascii="仿宋_GB2312" w:hAnsi="仿宋_GB2312" w:eastAsia="仿宋_GB2312" w:cs="仿宋_GB2312"/>
          <w:sz w:val="32"/>
          <w:szCs w:val="32"/>
          <w:lang w:eastAsia="zh-CN"/>
        </w:rPr>
        <w:t>部门</w:t>
      </w:r>
      <w:r>
        <w:rPr>
          <w:rFonts w:hint="eastAsia" w:ascii="仿宋_GB2312" w:hAnsi="仿宋_GB2312" w:eastAsia="仿宋_GB2312" w:cs="仿宋_GB2312"/>
          <w:sz w:val="32"/>
          <w:szCs w:val="32"/>
        </w:rPr>
        <w:t>决算编制时</w:t>
      </w:r>
      <w:r>
        <w:rPr>
          <w:rFonts w:hint="eastAsia" w:ascii="仿宋_GB2312" w:hAnsi="仿宋_GB2312" w:eastAsia="仿宋_GB2312" w:cs="仿宋_GB2312"/>
          <w:sz w:val="32"/>
          <w:szCs w:val="32"/>
          <w:lang w:eastAsia="zh-CN"/>
        </w:rPr>
        <w:t>数据</w:t>
      </w:r>
      <w:r>
        <w:rPr>
          <w:rFonts w:hint="eastAsia" w:ascii="仿宋_GB2312" w:hAnsi="仿宋_GB2312" w:eastAsia="仿宋_GB2312" w:cs="仿宋_GB2312"/>
          <w:sz w:val="32"/>
          <w:szCs w:val="32"/>
        </w:rPr>
        <w:t>明细</w:t>
      </w:r>
      <w:r>
        <w:rPr>
          <w:rFonts w:hint="eastAsia" w:ascii="仿宋_GB2312" w:hAnsi="仿宋_GB2312" w:eastAsia="仿宋_GB2312" w:cs="仿宋_GB2312"/>
          <w:sz w:val="32"/>
          <w:szCs w:val="32"/>
          <w:lang w:eastAsia="zh-CN"/>
        </w:rPr>
        <w:t>至“金额单位：元</w:t>
      </w:r>
      <w:r>
        <w:rPr>
          <w:rFonts w:hint="eastAsia" w:ascii="仿宋_GB2312" w:hAnsi="仿宋_GB2312" w:eastAsia="仿宋_GB2312" w:cs="仿宋_GB2312"/>
          <w:sz w:val="32"/>
          <w:szCs w:val="32"/>
        </w:rPr>
        <w:t>”，而</w:t>
      </w:r>
      <w:r>
        <w:rPr>
          <w:rFonts w:hint="eastAsia" w:ascii="仿宋_GB2312" w:hAnsi="仿宋_GB2312" w:eastAsia="仿宋_GB2312" w:cs="仿宋_GB2312"/>
          <w:sz w:val="32"/>
          <w:szCs w:val="32"/>
          <w:lang w:eastAsia="zh-CN"/>
        </w:rPr>
        <w:t>本套部门决算文字说明</w:t>
      </w:r>
      <w:r>
        <w:rPr>
          <w:rFonts w:hint="eastAsia" w:ascii="仿宋_GB2312" w:hAnsi="仿宋_GB2312" w:eastAsia="仿宋_GB2312" w:cs="仿宋_GB2312"/>
          <w:sz w:val="32"/>
          <w:szCs w:val="32"/>
        </w:rPr>
        <w:t>和公开表格</w:t>
      </w:r>
      <w:r>
        <w:rPr>
          <w:rFonts w:hint="eastAsia" w:ascii="仿宋_GB2312" w:hAnsi="仿宋_GB2312" w:eastAsia="仿宋_GB2312" w:cs="仿宋_GB2312"/>
          <w:sz w:val="32"/>
          <w:szCs w:val="32"/>
          <w:lang w:eastAsia="zh-CN"/>
        </w:rPr>
        <w:t>数据</w:t>
      </w:r>
      <w:r>
        <w:rPr>
          <w:rFonts w:hint="eastAsia" w:ascii="仿宋_GB2312" w:hAnsi="仿宋_GB2312" w:eastAsia="仿宋_GB2312" w:cs="仿宋_GB2312"/>
          <w:sz w:val="32"/>
          <w:szCs w:val="32"/>
        </w:rPr>
        <w:t>取数</w:t>
      </w:r>
      <w:r>
        <w:rPr>
          <w:rFonts w:hint="eastAsia" w:ascii="仿宋_GB2312" w:hAnsi="仿宋_GB2312" w:eastAsia="仿宋_GB2312" w:cs="仿宋_GB2312"/>
          <w:sz w:val="32"/>
          <w:szCs w:val="32"/>
          <w:lang w:eastAsia="zh-CN"/>
        </w:rPr>
        <w:t>转换为</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金额单位：</w:t>
      </w:r>
      <w:r>
        <w:rPr>
          <w:rFonts w:hint="eastAsia" w:ascii="仿宋_GB2312" w:hAnsi="仿宋_GB2312" w:eastAsia="仿宋_GB2312" w:cs="仿宋_GB2312"/>
          <w:sz w:val="32"/>
          <w:szCs w:val="32"/>
        </w:rPr>
        <w:t>万元”，可能导致</w:t>
      </w:r>
      <w:r>
        <w:rPr>
          <w:rFonts w:hint="eastAsia" w:ascii="仿宋_GB2312" w:hAnsi="仿宋_GB2312" w:eastAsia="仿宋_GB2312" w:cs="仿宋_GB2312"/>
          <w:sz w:val="32"/>
          <w:szCs w:val="32"/>
          <w:lang w:eastAsia="zh-CN"/>
        </w:rPr>
        <w:t>以下文字说明中的各项数据取数以及公开</w:t>
      </w:r>
      <w:r>
        <w:rPr>
          <w:rFonts w:hint="eastAsia" w:ascii="仿宋_GB2312" w:hAnsi="仿宋_GB2312" w:eastAsia="仿宋_GB2312" w:cs="仿宋_GB2312"/>
          <w:sz w:val="32"/>
          <w:szCs w:val="32"/>
        </w:rPr>
        <w:t>表格</w:t>
      </w:r>
      <w:r>
        <w:rPr>
          <w:rFonts w:hint="eastAsia" w:ascii="仿宋_GB2312" w:hAnsi="仿宋_GB2312" w:eastAsia="仿宋_GB2312" w:cs="仿宋_GB2312"/>
          <w:sz w:val="32"/>
          <w:szCs w:val="32"/>
          <w:lang w:eastAsia="zh-CN"/>
        </w:rPr>
        <w:t>中的各项数据取数之间存在</w:t>
      </w:r>
      <w:r>
        <w:rPr>
          <w:rFonts w:hint="eastAsia" w:ascii="仿宋_GB2312" w:hAnsi="仿宋_GB2312" w:eastAsia="仿宋_GB2312" w:cs="仿宋_GB2312"/>
          <w:sz w:val="32"/>
          <w:szCs w:val="32"/>
        </w:rPr>
        <w:t>0.01的尾数差异。</w:t>
      </w:r>
      <w:r>
        <w:rPr>
          <w:rFonts w:hint="eastAsia" w:ascii="仿宋_GB2312" w:hAnsi="仿宋_GB2312" w:eastAsia="仿宋_GB2312" w:cs="仿宋_GB2312"/>
          <w:sz w:val="32"/>
          <w:szCs w:val="32"/>
          <w:lang w:val="en-US" w:eastAsia="zh-CN"/>
        </w:rPr>
        <w:t>2、以下文字说明中，部分科目由于预算数为0，无法计算完成年初预算的百分比，故未描述“</w:t>
      </w:r>
      <w:r>
        <w:rPr>
          <w:rFonts w:hint="eastAsia" w:ascii="仿宋_GB2312" w:hAnsi="仿宋_GB2312" w:eastAsia="仿宋_GB2312" w:cs="仿宋_GB2312"/>
          <w:sz w:val="32"/>
          <w:szCs w:val="32"/>
        </w:rPr>
        <w:t>完成年初预算的XX%</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w:t>
      </w:r>
    </w:p>
    <w:p w14:paraId="2411C081">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一、收入支出决算总体情况说明</w:t>
      </w:r>
    </w:p>
    <w:p w14:paraId="5CDCBAD6">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年度收、支总计</w:t>
      </w:r>
      <w:r>
        <w:rPr>
          <w:rFonts w:hint="eastAsia" w:ascii="仿宋_GB2312" w:hAnsi="仿宋_GB2312" w:eastAsia="仿宋_GB2312" w:cs="仿宋_GB2312"/>
          <w:sz w:val="32"/>
          <w:szCs w:val="32"/>
          <w:lang w:val="en-US" w:eastAsia="zh-CN"/>
        </w:rPr>
        <w:t>8693.04</w:t>
      </w:r>
      <w:r>
        <w:rPr>
          <w:rFonts w:hint="eastAsia" w:ascii="仿宋_GB2312" w:hAnsi="仿宋_GB2312" w:eastAsia="仿宋_GB2312" w:cs="仿宋_GB2312"/>
          <w:sz w:val="32"/>
          <w:szCs w:val="32"/>
        </w:rPr>
        <w:t>万元。与上年相比，减少</w:t>
      </w:r>
      <w:r>
        <w:rPr>
          <w:rFonts w:hint="eastAsia" w:ascii="仿宋_GB2312" w:hAnsi="仿宋_GB2312" w:eastAsia="仿宋_GB2312" w:cs="仿宋_GB2312"/>
          <w:sz w:val="32"/>
          <w:szCs w:val="32"/>
          <w:lang w:val="en-US" w:eastAsia="zh-CN"/>
        </w:rPr>
        <w:t>606.58</w:t>
      </w:r>
      <w:r>
        <w:rPr>
          <w:rFonts w:hint="eastAsia" w:ascii="仿宋_GB2312" w:hAnsi="仿宋_GB2312" w:eastAsia="仿宋_GB2312" w:cs="仿宋_GB2312"/>
          <w:sz w:val="32"/>
          <w:szCs w:val="32"/>
        </w:rPr>
        <w:t>万元，减少</w:t>
      </w:r>
      <w:r>
        <w:rPr>
          <w:rFonts w:hint="eastAsia" w:ascii="仿宋_GB2312" w:hAnsi="仿宋_GB2312" w:eastAsia="仿宋_GB2312" w:cs="仿宋_GB2312"/>
          <w:sz w:val="32"/>
          <w:szCs w:val="32"/>
          <w:lang w:val="en-US" w:eastAsia="zh-CN"/>
        </w:rPr>
        <w:t>6.67</w:t>
      </w:r>
      <w:r>
        <w:rPr>
          <w:rFonts w:hint="eastAsia" w:ascii="仿宋_GB2312" w:hAnsi="仿宋_GB2312" w:eastAsia="仿宋_GB2312" w:cs="仿宋_GB2312"/>
          <w:sz w:val="32"/>
          <w:szCs w:val="32"/>
        </w:rPr>
        <w:t>%，主要是因为</w:t>
      </w:r>
      <w:r>
        <w:rPr>
          <w:rFonts w:hint="eastAsia" w:ascii="仿宋_GB2312" w:hAnsi="仿宋_GB2312" w:eastAsia="仿宋_GB2312" w:cs="仿宋_GB2312"/>
          <w:sz w:val="32"/>
          <w:szCs w:val="32"/>
          <w:lang w:val="en-US" w:eastAsia="zh-CN"/>
        </w:rPr>
        <w:t>采血量下降，收入同步下降。</w:t>
      </w:r>
    </w:p>
    <w:p w14:paraId="07DA9E3F">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二、收入决算情况说明</w:t>
      </w:r>
    </w:p>
    <w:p w14:paraId="2A53B2AD">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年度收入合计</w:t>
      </w:r>
      <w:r>
        <w:rPr>
          <w:rFonts w:hint="eastAsia" w:ascii="仿宋_GB2312" w:hAnsi="仿宋_GB2312" w:eastAsia="仿宋_GB2312" w:cs="仿宋_GB2312"/>
          <w:sz w:val="32"/>
          <w:szCs w:val="32"/>
          <w:lang w:val="en-US" w:eastAsia="zh-CN"/>
        </w:rPr>
        <w:t>6617.67</w:t>
      </w:r>
      <w:r>
        <w:rPr>
          <w:rFonts w:hint="eastAsia" w:ascii="仿宋_GB2312" w:hAnsi="仿宋_GB2312" w:eastAsia="仿宋_GB2312" w:cs="仿宋_GB2312"/>
          <w:sz w:val="32"/>
          <w:szCs w:val="32"/>
        </w:rPr>
        <w:t>万元，其中：财政拨款收入</w:t>
      </w:r>
      <w:r>
        <w:rPr>
          <w:rFonts w:hint="eastAsia" w:ascii="仿宋_GB2312" w:hAnsi="仿宋_GB2312" w:eastAsia="仿宋_GB2312" w:cs="仿宋_GB2312"/>
          <w:sz w:val="32"/>
          <w:szCs w:val="32"/>
          <w:lang w:val="en-US" w:eastAsia="zh-CN"/>
        </w:rPr>
        <w:t>6616.78</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99.99</w:t>
      </w:r>
      <w:r>
        <w:rPr>
          <w:rFonts w:hint="eastAsia" w:ascii="仿宋_GB2312" w:hAnsi="仿宋_GB2312" w:eastAsia="仿宋_GB2312" w:cs="仿宋_GB2312"/>
          <w:sz w:val="32"/>
          <w:szCs w:val="32"/>
        </w:rPr>
        <w:t>%；上级补助收入</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%；事业收入</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%；经营收入</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%；附属单位上缴收入</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%；其他收入</w:t>
      </w:r>
      <w:r>
        <w:rPr>
          <w:rFonts w:hint="eastAsia" w:ascii="仿宋_GB2312" w:hAnsi="仿宋_GB2312" w:eastAsia="仿宋_GB2312" w:cs="仿宋_GB2312"/>
          <w:sz w:val="32"/>
          <w:szCs w:val="32"/>
          <w:lang w:val="en-US" w:eastAsia="zh-CN"/>
        </w:rPr>
        <w:t>0.89</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0.01</w:t>
      </w:r>
      <w:r>
        <w:rPr>
          <w:rFonts w:hint="eastAsia" w:ascii="仿宋_GB2312" w:hAnsi="仿宋_GB2312" w:eastAsia="仿宋_GB2312" w:cs="仿宋_GB2312"/>
          <w:sz w:val="32"/>
          <w:szCs w:val="32"/>
        </w:rPr>
        <w:t>%。</w:t>
      </w:r>
    </w:p>
    <w:p w14:paraId="2D1A2B4D">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三、支出决算情况说明</w:t>
      </w:r>
    </w:p>
    <w:p w14:paraId="28222937">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年度支出合计</w:t>
      </w:r>
      <w:r>
        <w:rPr>
          <w:rFonts w:hint="eastAsia" w:ascii="仿宋_GB2312" w:hAnsi="仿宋_GB2312" w:eastAsia="仿宋_GB2312" w:cs="仿宋_GB2312"/>
          <w:sz w:val="32"/>
          <w:szCs w:val="32"/>
          <w:lang w:val="en-US" w:eastAsia="zh-CN"/>
        </w:rPr>
        <w:t>8366.78</w:t>
      </w:r>
      <w:r>
        <w:rPr>
          <w:rFonts w:hint="eastAsia" w:ascii="仿宋_GB2312" w:hAnsi="仿宋_GB2312" w:eastAsia="仿宋_GB2312" w:cs="仿宋_GB2312"/>
          <w:sz w:val="32"/>
          <w:szCs w:val="32"/>
        </w:rPr>
        <w:t>万元，其中：基本支出</w:t>
      </w:r>
      <w:r>
        <w:rPr>
          <w:rFonts w:hint="eastAsia" w:ascii="仿宋_GB2312" w:hAnsi="仿宋_GB2312" w:eastAsia="仿宋_GB2312" w:cs="仿宋_GB2312"/>
          <w:sz w:val="32"/>
          <w:szCs w:val="32"/>
          <w:lang w:val="en-US" w:eastAsia="zh-CN"/>
        </w:rPr>
        <w:t>8100.94</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96.82</w:t>
      </w:r>
      <w:r>
        <w:rPr>
          <w:rFonts w:hint="eastAsia" w:ascii="仿宋_GB2312" w:hAnsi="仿宋_GB2312" w:eastAsia="仿宋_GB2312" w:cs="仿宋_GB2312"/>
          <w:sz w:val="32"/>
          <w:szCs w:val="32"/>
        </w:rPr>
        <w:t>%；项目支出</w:t>
      </w:r>
      <w:r>
        <w:rPr>
          <w:rFonts w:hint="eastAsia" w:ascii="仿宋_GB2312" w:hAnsi="仿宋_GB2312" w:eastAsia="仿宋_GB2312" w:cs="仿宋_GB2312"/>
          <w:sz w:val="32"/>
          <w:szCs w:val="32"/>
          <w:lang w:val="en-US" w:eastAsia="zh-CN"/>
        </w:rPr>
        <w:t>265.84</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3.18</w:t>
      </w:r>
      <w:r>
        <w:rPr>
          <w:rFonts w:hint="eastAsia" w:ascii="仿宋_GB2312" w:hAnsi="仿宋_GB2312" w:eastAsia="仿宋_GB2312" w:cs="仿宋_GB2312"/>
          <w:sz w:val="32"/>
          <w:szCs w:val="32"/>
        </w:rPr>
        <w:t>%；上缴上级支出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%；经营支出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%；对附属单位补助支出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w:t>
      </w:r>
    </w:p>
    <w:p w14:paraId="69857526">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四、财政拨款收入支出决算总体情况说明</w:t>
      </w:r>
    </w:p>
    <w:p w14:paraId="4ED35F49">
      <w:pPr>
        <w:pStyle w:val="14"/>
        <w:keepNext w:val="0"/>
        <w:keepLines w:val="0"/>
        <w:pageBreakBefore w:val="0"/>
        <w:widowControl w:val="0"/>
        <w:kinsoku/>
        <w:wordWrap/>
        <w:overflowPunct/>
        <w:topLinePunct w:val="0"/>
        <w:bidi w:val="0"/>
        <w:snapToGrid/>
        <w:spacing w:line="600" w:lineRule="exact"/>
        <w:textAlignment w:val="auto"/>
        <w:rPr>
          <w:rFonts w:hint="default" w:ascii="仿宋_GB2312" w:hAnsi="仿宋_GB2312" w:eastAsia="仿宋_GB2312" w:cs="仿宋_GB2312"/>
          <w:sz w:val="32"/>
          <w:szCs w:val="32"/>
          <w:lang w:val="en-US" w:eastAsia="zh-CN"/>
        </w:rPr>
      </w:pPr>
      <w:r>
        <w:rPr>
          <w:rFonts w:hint="eastAsia" w:ascii="Times New Roman" w:hAnsi="Times New Roman" w:eastAsia="仿宋_GB2312"/>
          <w:sz w:val="32"/>
          <w:szCs w:val="32"/>
        </w:rPr>
        <w:t xml:space="preserve">   </w:t>
      </w:r>
      <w:r>
        <w:rPr>
          <w:rFonts w:hint="eastAsia" w:ascii="仿宋_GB2312" w:hAnsi="仿宋_GB2312" w:eastAsia="仿宋_GB2312" w:cs="仿宋_GB2312"/>
          <w:sz w:val="32"/>
          <w:szCs w:val="32"/>
        </w:rPr>
        <w:t xml:space="preserve"> 202</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年度财政拨款收、支总计</w:t>
      </w:r>
      <w:r>
        <w:rPr>
          <w:rFonts w:hint="eastAsia" w:ascii="仿宋_GB2312" w:hAnsi="仿宋_GB2312" w:eastAsia="仿宋_GB2312" w:cs="仿宋_GB2312"/>
          <w:sz w:val="32"/>
          <w:szCs w:val="32"/>
          <w:lang w:val="en-US" w:eastAsia="zh-CN"/>
        </w:rPr>
        <w:t>8692.15</w:t>
      </w:r>
      <w:r>
        <w:rPr>
          <w:rFonts w:hint="eastAsia" w:ascii="仿宋_GB2312" w:hAnsi="仿宋_GB2312" w:eastAsia="仿宋_GB2312" w:cs="仿宋_GB2312"/>
          <w:sz w:val="32"/>
          <w:szCs w:val="32"/>
        </w:rPr>
        <w:t>万元，与上年相比，减少</w:t>
      </w:r>
      <w:r>
        <w:rPr>
          <w:rFonts w:hint="eastAsia" w:ascii="仿宋_GB2312" w:hAnsi="仿宋_GB2312" w:eastAsia="仿宋_GB2312" w:cs="仿宋_GB2312"/>
          <w:sz w:val="32"/>
          <w:szCs w:val="32"/>
          <w:lang w:val="en-US" w:eastAsia="zh-CN"/>
        </w:rPr>
        <w:t>606.41</w:t>
      </w:r>
      <w:r>
        <w:rPr>
          <w:rFonts w:hint="eastAsia" w:ascii="仿宋_GB2312" w:hAnsi="仿宋_GB2312" w:eastAsia="仿宋_GB2312" w:cs="仿宋_GB2312"/>
          <w:sz w:val="32"/>
          <w:szCs w:val="32"/>
        </w:rPr>
        <w:t>万元,减少</w:t>
      </w:r>
      <w:r>
        <w:rPr>
          <w:rFonts w:hint="eastAsia" w:ascii="仿宋_GB2312" w:hAnsi="仿宋_GB2312" w:eastAsia="仿宋_GB2312" w:cs="仿宋_GB2312"/>
          <w:sz w:val="32"/>
          <w:szCs w:val="32"/>
          <w:lang w:val="en-US" w:eastAsia="zh-CN"/>
        </w:rPr>
        <w:t>6.52</w:t>
      </w:r>
      <w:r>
        <w:rPr>
          <w:rFonts w:hint="eastAsia" w:ascii="仿宋_GB2312" w:hAnsi="仿宋_GB2312" w:eastAsia="仿宋_GB2312" w:cs="仿宋_GB2312"/>
          <w:sz w:val="32"/>
          <w:szCs w:val="32"/>
        </w:rPr>
        <w:t>%，主要是因为</w:t>
      </w:r>
      <w:r>
        <w:rPr>
          <w:rFonts w:hint="eastAsia" w:ascii="仿宋_GB2312" w:hAnsi="仿宋_GB2312" w:eastAsia="仿宋_GB2312" w:cs="仿宋_GB2312"/>
          <w:sz w:val="32"/>
          <w:szCs w:val="32"/>
          <w:lang w:val="en-US" w:eastAsia="zh-CN"/>
        </w:rPr>
        <w:t>采血量下降，收入同步下降。</w:t>
      </w:r>
    </w:p>
    <w:p w14:paraId="4BB30A62">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五、一般公共预算财政拨款支出决算情况说明</w:t>
      </w:r>
    </w:p>
    <w:p w14:paraId="60232831">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（一）一般公共预算财政拨款支出决算总体情况</w:t>
      </w:r>
    </w:p>
    <w:p w14:paraId="76CAEDEF">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年度财政拨款支出</w:t>
      </w:r>
      <w:r>
        <w:rPr>
          <w:rFonts w:hint="eastAsia" w:ascii="仿宋_GB2312" w:hAnsi="仿宋_GB2312" w:eastAsia="仿宋_GB2312" w:cs="仿宋_GB2312"/>
          <w:sz w:val="32"/>
          <w:szCs w:val="32"/>
          <w:lang w:val="en-US" w:eastAsia="zh-CN"/>
        </w:rPr>
        <w:t>8365.89</w:t>
      </w:r>
      <w:r>
        <w:rPr>
          <w:rFonts w:hint="eastAsia" w:ascii="仿宋_GB2312" w:hAnsi="仿宋_GB2312" w:eastAsia="仿宋_GB2312" w:cs="仿宋_GB2312"/>
          <w:sz w:val="32"/>
          <w:szCs w:val="32"/>
        </w:rPr>
        <w:t>万元，占本年支出合计的</w:t>
      </w:r>
      <w:r>
        <w:rPr>
          <w:rFonts w:hint="eastAsia" w:ascii="仿宋_GB2312" w:hAnsi="仿宋_GB2312" w:eastAsia="仿宋_GB2312" w:cs="仿宋_GB2312"/>
          <w:sz w:val="32"/>
          <w:szCs w:val="32"/>
          <w:lang w:val="en-US" w:eastAsia="zh-CN"/>
        </w:rPr>
        <w:t>99.99</w:t>
      </w:r>
      <w:r>
        <w:rPr>
          <w:rFonts w:hint="eastAsia" w:ascii="仿宋_GB2312" w:hAnsi="仿宋_GB2312" w:eastAsia="仿宋_GB2312" w:cs="仿宋_GB2312"/>
          <w:sz w:val="32"/>
          <w:szCs w:val="32"/>
        </w:rPr>
        <w:t>%，与上年相比，财政拨款支出增加</w:t>
      </w:r>
      <w:r>
        <w:rPr>
          <w:rFonts w:hint="eastAsia" w:ascii="仿宋_GB2312" w:hAnsi="仿宋_GB2312" w:eastAsia="仿宋_GB2312" w:cs="仿宋_GB2312"/>
          <w:sz w:val="32"/>
          <w:szCs w:val="32"/>
          <w:lang w:val="en-US" w:eastAsia="zh-CN"/>
        </w:rPr>
        <w:t>1133.98</w:t>
      </w:r>
      <w:r>
        <w:rPr>
          <w:rFonts w:hint="eastAsia" w:ascii="仿宋_GB2312" w:hAnsi="仿宋_GB2312" w:eastAsia="仿宋_GB2312" w:cs="仿宋_GB2312"/>
          <w:sz w:val="32"/>
          <w:szCs w:val="32"/>
        </w:rPr>
        <w:t>万元，增长</w:t>
      </w:r>
      <w:r>
        <w:rPr>
          <w:rFonts w:hint="eastAsia" w:ascii="仿宋_GB2312" w:hAnsi="仿宋_GB2312" w:eastAsia="仿宋_GB2312" w:cs="仿宋_GB2312"/>
          <w:sz w:val="32"/>
          <w:szCs w:val="32"/>
          <w:lang w:val="en-US" w:eastAsia="zh-CN"/>
        </w:rPr>
        <w:t>15.68</w:t>
      </w:r>
      <w:r>
        <w:rPr>
          <w:rFonts w:hint="eastAsia" w:ascii="仿宋_GB2312" w:hAnsi="仿宋_GB2312" w:eastAsia="仿宋_GB2312" w:cs="仿宋_GB2312"/>
          <w:sz w:val="32"/>
          <w:szCs w:val="32"/>
        </w:rPr>
        <w:t>%，主要是因为</w:t>
      </w:r>
      <w:r>
        <w:rPr>
          <w:rFonts w:hint="eastAsia" w:ascii="仿宋_GB2312" w:hAnsi="仿宋_GB2312" w:eastAsia="仿宋_GB2312" w:cs="仿宋_GB2312"/>
          <w:sz w:val="32"/>
          <w:szCs w:val="32"/>
          <w:lang w:val="en-US" w:eastAsia="zh-CN"/>
        </w:rPr>
        <w:t>实验室设备维护更新等。</w:t>
      </w:r>
    </w:p>
    <w:p w14:paraId="66C54C85">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（二）一般公共预算财政拨款支出决算结构情况</w:t>
      </w:r>
    </w:p>
    <w:p w14:paraId="100B560A">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年度财政拨款支出</w:t>
      </w:r>
      <w:r>
        <w:rPr>
          <w:rFonts w:hint="eastAsia" w:ascii="仿宋_GB2312" w:hAnsi="仿宋_GB2312" w:eastAsia="仿宋_GB2312" w:cs="仿宋_GB2312"/>
          <w:sz w:val="32"/>
          <w:szCs w:val="32"/>
          <w:lang w:val="en-US" w:eastAsia="zh-CN"/>
        </w:rPr>
        <w:t>8365.89</w:t>
      </w:r>
      <w:r>
        <w:rPr>
          <w:rFonts w:hint="eastAsia" w:ascii="仿宋_GB2312" w:hAnsi="仿宋_GB2312" w:eastAsia="仿宋_GB2312" w:cs="仿宋_GB2312"/>
          <w:sz w:val="32"/>
          <w:szCs w:val="32"/>
        </w:rPr>
        <w:t>万元，主要用于以下方面：</w:t>
      </w:r>
      <w:r>
        <w:rPr>
          <w:rFonts w:hint="eastAsia" w:ascii="仿宋_GB2312" w:hAnsi="仿宋_GB2312" w:eastAsia="仿宋_GB2312" w:cs="仿宋_GB2312"/>
          <w:sz w:val="32"/>
          <w:szCs w:val="32"/>
          <w:lang w:val="en-US" w:eastAsia="zh-CN"/>
        </w:rPr>
        <w:t>社会保障和就业</w:t>
      </w:r>
      <w:r>
        <w:rPr>
          <w:rFonts w:hint="eastAsia" w:ascii="仿宋_GB2312" w:hAnsi="仿宋_GB2312" w:eastAsia="仿宋_GB2312" w:cs="仿宋_GB2312"/>
          <w:sz w:val="32"/>
          <w:szCs w:val="32"/>
        </w:rPr>
        <w:t>支出</w:t>
      </w:r>
      <w:r>
        <w:rPr>
          <w:rFonts w:hint="eastAsia" w:ascii="仿宋_GB2312" w:hAnsi="仿宋_GB2312" w:eastAsia="仿宋_GB2312" w:cs="仿宋_GB2312"/>
          <w:sz w:val="32"/>
          <w:szCs w:val="32"/>
          <w:lang w:val="en-US" w:eastAsia="zh-CN"/>
        </w:rPr>
        <w:t>129.35</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1.55</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卫生健康</w:t>
      </w:r>
      <w:r>
        <w:rPr>
          <w:rFonts w:hint="eastAsia" w:ascii="仿宋_GB2312" w:hAnsi="仿宋_GB2312" w:eastAsia="仿宋_GB2312" w:cs="仿宋_GB2312"/>
          <w:sz w:val="32"/>
          <w:szCs w:val="32"/>
        </w:rPr>
        <w:t>支出</w:t>
      </w:r>
      <w:r>
        <w:rPr>
          <w:rFonts w:hint="eastAsia" w:ascii="仿宋_GB2312" w:hAnsi="仿宋_GB2312" w:eastAsia="仿宋_GB2312" w:cs="仿宋_GB2312"/>
          <w:sz w:val="32"/>
          <w:szCs w:val="32"/>
          <w:lang w:val="en-US" w:eastAsia="zh-CN"/>
        </w:rPr>
        <w:t>8162.24</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97.56</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住房保障支出74.3万元，占0.89%。</w:t>
      </w:r>
    </w:p>
    <w:p w14:paraId="5CDBADF9">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（三）一般公共预算财政拨款支出决算具体情况</w:t>
      </w:r>
    </w:p>
    <w:p w14:paraId="5B07DAE0">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年度财政拨款支出年初预算数为</w:t>
      </w:r>
      <w:r>
        <w:rPr>
          <w:rFonts w:hint="eastAsia" w:ascii="仿宋_GB2312" w:hAnsi="仿宋_GB2312" w:eastAsia="仿宋_GB2312" w:cs="仿宋_GB2312"/>
          <w:sz w:val="32"/>
          <w:szCs w:val="32"/>
          <w:lang w:val="en-US" w:eastAsia="zh-CN"/>
        </w:rPr>
        <w:t>8600</w:t>
      </w:r>
      <w:r>
        <w:rPr>
          <w:rFonts w:hint="eastAsia" w:ascii="仿宋_GB2312" w:hAnsi="仿宋_GB2312" w:eastAsia="仿宋_GB2312" w:cs="仿宋_GB2312"/>
          <w:sz w:val="32"/>
          <w:szCs w:val="32"/>
        </w:rPr>
        <w:t>万元，支出决算数为</w:t>
      </w:r>
      <w:r>
        <w:rPr>
          <w:rFonts w:hint="eastAsia" w:ascii="仿宋_GB2312" w:hAnsi="仿宋_GB2312" w:eastAsia="仿宋_GB2312" w:cs="仿宋_GB2312"/>
          <w:sz w:val="32"/>
          <w:szCs w:val="32"/>
          <w:lang w:val="en-US" w:eastAsia="zh-CN"/>
        </w:rPr>
        <w:t>8365.89</w:t>
      </w:r>
      <w:r>
        <w:rPr>
          <w:rFonts w:hint="eastAsia" w:ascii="仿宋_GB2312" w:hAnsi="仿宋_GB2312" w:eastAsia="仿宋_GB2312" w:cs="仿宋_GB2312"/>
          <w:sz w:val="32"/>
          <w:szCs w:val="32"/>
        </w:rPr>
        <w:t>万元，完成年初预算的</w:t>
      </w:r>
      <w:r>
        <w:rPr>
          <w:rFonts w:hint="eastAsia" w:ascii="仿宋_GB2312" w:hAnsi="仿宋_GB2312" w:eastAsia="仿宋_GB2312" w:cs="仿宋_GB2312"/>
          <w:sz w:val="32"/>
          <w:szCs w:val="32"/>
          <w:lang w:val="en-US" w:eastAsia="zh-CN"/>
        </w:rPr>
        <w:t>97.28</w:t>
      </w:r>
      <w:r>
        <w:rPr>
          <w:rFonts w:hint="eastAsia" w:ascii="仿宋_GB2312" w:hAnsi="仿宋_GB2312" w:eastAsia="仿宋_GB2312" w:cs="仿宋_GB2312"/>
          <w:sz w:val="32"/>
          <w:szCs w:val="32"/>
        </w:rPr>
        <w:t>%，其中：</w:t>
      </w:r>
    </w:p>
    <w:p w14:paraId="237A4D60">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w:t>
      </w:r>
      <w:r>
        <w:rPr>
          <w:rFonts w:hint="eastAsia" w:ascii="仿宋_GB2312" w:hAnsi="仿宋_GB2312" w:eastAsia="仿宋_GB2312" w:cs="仿宋_GB2312"/>
          <w:sz w:val="32"/>
          <w:szCs w:val="32"/>
          <w:lang w:val="en-US" w:eastAsia="zh-CN"/>
        </w:rPr>
        <w:t>社会保障和就业支出</w:t>
      </w:r>
      <w:r>
        <w:rPr>
          <w:rFonts w:hint="eastAsia" w:ascii="仿宋_GB2312" w:hAnsi="仿宋_GB2312" w:eastAsia="仿宋_GB2312" w:cs="仿宋_GB2312"/>
          <w:sz w:val="32"/>
          <w:szCs w:val="32"/>
        </w:rPr>
        <w:t>（类）</w:t>
      </w:r>
      <w:r>
        <w:rPr>
          <w:rFonts w:hint="eastAsia" w:ascii="仿宋_GB2312" w:hAnsi="仿宋_GB2312" w:eastAsia="仿宋_GB2312" w:cs="仿宋_GB2312"/>
          <w:sz w:val="32"/>
          <w:szCs w:val="32"/>
          <w:lang w:val="en-US" w:eastAsia="zh-CN"/>
        </w:rPr>
        <w:t>行政事业单位养老支出</w:t>
      </w:r>
      <w:r>
        <w:rPr>
          <w:rFonts w:hint="eastAsia" w:ascii="仿宋_GB2312" w:hAnsi="仿宋_GB2312" w:eastAsia="仿宋_GB2312" w:cs="仿宋_GB2312"/>
          <w:sz w:val="32"/>
          <w:szCs w:val="32"/>
        </w:rPr>
        <w:t>（款）</w:t>
      </w:r>
      <w:r>
        <w:rPr>
          <w:rFonts w:hint="eastAsia" w:ascii="仿宋_GB2312" w:hAnsi="仿宋_GB2312" w:eastAsia="仿宋_GB2312" w:cs="仿宋_GB2312"/>
          <w:sz w:val="32"/>
          <w:szCs w:val="32"/>
          <w:lang w:val="en-US" w:eastAsia="zh-CN"/>
        </w:rPr>
        <w:t>机关事业单位基本养老保险缴费支出</w:t>
      </w:r>
      <w:r>
        <w:rPr>
          <w:rFonts w:hint="eastAsia" w:ascii="仿宋_GB2312" w:hAnsi="仿宋_GB2312" w:eastAsia="仿宋_GB2312" w:cs="仿宋_GB2312"/>
          <w:sz w:val="32"/>
          <w:szCs w:val="32"/>
        </w:rPr>
        <w:t>（项）。</w:t>
      </w:r>
    </w:p>
    <w:p w14:paraId="75236081">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年初预算为</w:t>
      </w:r>
      <w:r>
        <w:rPr>
          <w:rFonts w:hint="eastAsia" w:ascii="仿宋_GB2312" w:hAnsi="仿宋_GB2312" w:eastAsia="仿宋_GB2312" w:cs="仿宋_GB2312"/>
          <w:sz w:val="32"/>
          <w:szCs w:val="32"/>
          <w:lang w:val="en-US" w:eastAsia="zh-CN"/>
        </w:rPr>
        <w:t>123.1</w:t>
      </w:r>
      <w:r>
        <w:rPr>
          <w:rFonts w:hint="eastAsia" w:ascii="仿宋_GB2312" w:hAnsi="仿宋_GB2312" w:eastAsia="仿宋_GB2312" w:cs="仿宋_GB2312"/>
          <w:sz w:val="32"/>
          <w:szCs w:val="32"/>
        </w:rPr>
        <w:t>万元，支出决算为</w:t>
      </w:r>
      <w:r>
        <w:rPr>
          <w:rFonts w:hint="eastAsia" w:ascii="仿宋_GB2312" w:hAnsi="仿宋_GB2312" w:eastAsia="仿宋_GB2312" w:cs="仿宋_GB2312"/>
          <w:sz w:val="32"/>
          <w:szCs w:val="32"/>
          <w:lang w:val="en-US" w:eastAsia="zh-CN"/>
        </w:rPr>
        <w:t>123.1</w:t>
      </w:r>
      <w:r>
        <w:rPr>
          <w:rFonts w:hint="eastAsia" w:ascii="仿宋_GB2312" w:hAnsi="仿宋_GB2312" w:eastAsia="仿宋_GB2312" w:cs="仿宋_GB2312"/>
          <w:sz w:val="32"/>
          <w:szCs w:val="32"/>
        </w:rPr>
        <w:t>万元，完成年初预算的</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sz w:val="32"/>
          <w:szCs w:val="32"/>
        </w:rPr>
        <w:t>%，决算数</w:t>
      </w:r>
      <w:r>
        <w:rPr>
          <w:rFonts w:hint="eastAsia" w:ascii="仿宋_GB2312" w:hAnsi="仿宋_GB2312" w:eastAsia="仿宋_GB2312" w:cs="仿宋_GB2312"/>
          <w:sz w:val="32"/>
          <w:szCs w:val="32"/>
          <w:lang w:val="en-US" w:eastAsia="zh-CN"/>
        </w:rPr>
        <w:t>等于</w:t>
      </w:r>
      <w:r>
        <w:rPr>
          <w:rFonts w:hint="eastAsia" w:ascii="仿宋_GB2312" w:hAnsi="仿宋_GB2312" w:eastAsia="仿宋_GB2312" w:cs="仿宋_GB2312"/>
          <w:sz w:val="32"/>
          <w:szCs w:val="32"/>
        </w:rPr>
        <w:t>年初预算数</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我单位严格按预算执行决算</w:t>
      </w:r>
      <w:r>
        <w:rPr>
          <w:rFonts w:hint="eastAsia" w:ascii="仿宋_GB2312" w:hAnsi="仿宋_GB2312" w:eastAsia="仿宋_GB2312" w:cs="仿宋_GB2312"/>
          <w:sz w:val="32"/>
          <w:szCs w:val="32"/>
          <w:lang w:eastAsia="zh-CN"/>
        </w:rPr>
        <w:t>。</w:t>
      </w:r>
    </w:p>
    <w:p w14:paraId="5213E70E">
      <w:pPr>
        <w:pStyle w:val="14"/>
        <w:keepNext w:val="0"/>
        <w:keepLines w:val="0"/>
        <w:pageBreakBefore w:val="0"/>
        <w:widowControl w:val="0"/>
        <w:numPr>
          <w:ilvl w:val="0"/>
          <w:numId w:val="1"/>
        </w:numPr>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社会保障和就业支出</w:t>
      </w:r>
      <w:r>
        <w:rPr>
          <w:rFonts w:hint="eastAsia" w:ascii="仿宋_GB2312" w:hAnsi="仿宋_GB2312" w:eastAsia="仿宋_GB2312" w:cs="仿宋_GB2312"/>
          <w:sz w:val="32"/>
          <w:szCs w:val="32"/>
        </w:rPr>
        <w:t>（类）</w:t>
      </w:r>
      <w:r>
        <w:rPr>
          <w:rFonts w:hint="eastAsia" w:ascii="仿宋_GB2312" w:hAnsi="仿宋_GB2312" w:eastAsia="仿宋_GB2312" w:cs="仿宋_GB2312"/>
          <w:sz w:val="32"/>
          <w:szCs w:val="32"/>
          <w:lang w:val="en-US" w:eastAsia="zh-CN"/>
        </w:rPr>
        <w:t>残疾人事业</w:t>
      </w:r>
      <w:r>
        <w:rPr>
          <w:rFonts w:hint="eastAsia" w:ascii="仿宋_GB2312" w:hAnsi="仿宋_GB2312" w:eastAsia="仿宋_GB2312" w:cs="仿宋_GB2312"/>
          <w:sz w:val="32"/>
          <w:szCs w:val="32"/>
        </w:rPr>
        <w:t>（款）</w:t>
      </w:r>
      <w:r>
        <w:rPr>
          <w:rFonts w:hint="eastAsia" w:ascii="仿宋_GB2312" w:hAnsi="仿宋_GB2312" w:eastAsia="仿宋_GB2312" w:cs="仿宋_GB2312"/>
          <w:sz w:val="32"/>
          <w:szCs w:val="32"/>
          <w:lang w:val="en-US" w:eastAsia="zh-CN"/>
        </w:rPr>
        <w:t>其他残疾人事业支出</w:t>
      </w:r>
      <w:r>
        <w:rPr>
          <w:rFonts w:hint="eastAsia" w:ascii="仿宋_GB2312" w:hAnsi="仿宋_GB2312" w:eastAsia="仿宋_GB2312" w:cs="仿宋_GB2312"/>
          <w:sz w:val="32"/>
          <w:szCs w:val="32"/>
        </w:rPr>
        <w:t>（项）。</w:t>
      </w:r>
    </w:p>
    <w:p w14:paraId="76688FA1">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年初预算为</w:t>
      </w:r>
      <w:r>
        <w:rPr>
          <w:rFonts w:hint="eastAsia" w:ascii="仿宋_GB2312" w:hAnsi="仿宋_GB2312" w:eastAsia="仿宋_GB2312" w:cs="仿宋_GB2312"/>
          <w:sz w:val="32"/>
          <w:szCs w:val="32"/>
          <w:lang w:val="en-US" w:eastAsia="zh-CN"/>
        </w:rPr>
        <w:t>5.15</w:t>
      </w:r>
      <w:r>
        <w:rPr>
          <w:rFonts w:hint="eastAsia" w:ascii="仿宋_GB2312" w:hAnsi="仿宋_GB2312" w:eastAsia="仿宋_GB2312" w:cs="仿宋_GB2312"/>
          <w:sz w:val="32"/>
          <w:szCs w:val="32"/>
        </w:rPr>
        <w:t>万元，支出决算为</w:t>
      </w:r>
      <w:r>
        <w:rPr>
          <w:rFonts w:hint="eastAsia" w:ascii="仿宋_GB2312" w:hAnsi="仿宋_GB2312" w:eastAsia="仿宋_GB2312" w:cs="仿宋_GB2312"/>
          <w:sz w:val="32"/>
          <w:szCs w:val="32"/>
          <w:lang w:val="en-US" w:eastAsia="zh-CN"/>
        </w:rPr>
        <w:t>5.15</w:t>
      </w:r>
      <w:r>
        <w:rPr>
          <w:rFonts w:hint="eastAsia" w:ascii="仿宋_GB2312" w:hAnsi="仿宋_GB2312" w:eastAsia="仿宋_GB2312" w:cs="仿宋_GB2312"/>
          <w:sz w:val="32"/>
          <w:szCs w:val="32"/>
        </w:rPr>
        <w:t>万元，完成年初预算的</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sz w:val="32"/>
          <w:szCs w:val="32"/>
        </w:rPr>
        <w:t>%，决算数</w:t>
      </w:r>
      <w:r>
        <w:rPr>
          <w:rFonts w:hint="eastAsia" w:ascii="仿宋_GB2312" w:hAnsi="仿宋_GB2312" w:eastAsia="仿宋_GB2312" w:cs="仿宋_GB2312"/>
          <w:sz w:val="32"/>
          <w:szCs w:val="32"/>
          <w:lang w:val="en-US" w:eastAsia="zh-CN"/>
        </w:rPr>
        <w:t>等于</w:t>
      </w:r>
      <w:r>
        <w:rPr>
          <w:rFonts w:hint="eastAsia" w:ascii="仿宋_GB2312" w:hAnsi="仿宋_GB2312" w:eastAsia="仿宋_GB2312" w:cs="仿宋_GB2312"/>
          <w:sz w:val="32"/>
          <w:szCs w:val="32"/>
        </w:rPr>
        <w:t>年初预算数</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我单位严格按预算执行决算</w:t>
      </w:r>
      <w:r>
        <w:rPr>
          <w:rFonts w:hint="eastAsia" w:ascii="仿宋_GB2312" w:hAnsi="仿宋_GB2312" w:eastAsia="仿宋_GB2312" w:cs="仿宋_GB2312"/>
          <w:sz w:val="32"/>
          <w:szCs w:val="32"/>
          <w:lang w:eastAsia="zh-CN"/>
        </w:rPr>
        <w:t>。</w:t>
      </w:r>
    </w:p>
    <w:p w14:paraId="38E8658B">
      <w:pPr>
        <w:widowControl w:val="0"/>
        <w:autoSpaceDE w:val="0"/>
        <w:autoSpaceDN w:val="0"/>
        <w:adjustRightInd w:val="0"/>
        <w:ind w:firstLine="640" w:firstLineChars="200"/>
        <w:rPr>
          <w:rFonts w:hint="eastAsia" w:ascii="仿宋_GB2312" w:hAnsi="仿宋_GB2312" w:eastAsia="仿宋_GB2312" w:cs="仿宋_GB2312"/>
          <w:color w:val="000000"/>
          <w:kern w:val="0"/>
          <w:sz w:val="32"/>
          <w:szCs w:val="32"/>
          <w:lang w:val="en-US" w:eastAsia="zh-CN" w:bidi="ar-SA"/>
        </w:rPr>
      </w:pPr>
      <w:r>
        <w:rPr>
          <w:rFonts w:hint="eastAsia" w:ascii="仿宋_GB2312" w:hAnsi="仿宋_GB2312" w:eastAsia="仿宋_GB2312" w:cs="仿宋_GB2312"/>
          <w:color w:val="000000"/>
          <w:kern w:val="0"/>
          <w:sz w:val="32"/>
          <w:szCs w:val="32"/>
          <w:lang w:val="en-US" w:eastAsia="zh-CN" w:bidi="ar-SA"/>
        </w:rPr>
        <w:t>3、</w:t>
      </w:r>
      <w:r>
        <w:rPr>
          <w:rFonts w:hint="eastAsia" w:ascii="仿宋_GB2312" w:hAnsi="仿宋_GB2312" w:eastAsia="仿宋_GB2312" w:cs="仿宋_GB2312"/>
          <w:sz w:val="32"/>
          <w:szCs w:val="32"/>
          <w:lang w:val="en-US" w:eastAsia="zh-CN"/>
        </w:rPr>
        <w:t>社会保障和就业支出</w:t>
      </w:r>
      <w:r>
        <w:rPr>
          <w:rFonts w:hint="eastAsia" w:ascii="仿宋_GB2312" w:hAnsi="仿宋_GB2312" w:eastAsia="仿宋_GB2312" w:cs="仿宋_GB2312"/>
          <w:sz w:val="32"/>
          <w:szCs w:val="32"/>
        </w:rPr>
        <w:t>（类）</w:t>
      </w:r>
      <w:r>
        <w:rPr>
          <w:rFonts w:hint="eastAsia" w:ascii="仿宋_GB2312" w:hAnsi="仿宋_GB2312" w:eastAsia="仿宋_GB2312" w:cs="仿宋_GB2312"/>
          <w:sz w:val="32"/>
          <w:szCs w:val="32"/>
          <w:lang w:val="en-US" w:eastAsia="zh-CN"/>
        </w:rPr>
        <w:t>其他社会保障和就业支出</w:t>
      </w:r>
      <w:r>
        <w:rPr>
          <w:rFonts w:hint="eastAsia" w:ascii="仿宋_GB2312" w:hAnsi="仿宋_GB2312" w:eastAsia="仿宋_GB2312" w:cs="仿宋_GB2312"/>
          <w:sz w:val="32"/>
          <w:szCs w:val="32"/>
        </w:rPr>
        <w:t>（款）</w:t>
      </w:r>
      <w:r>
        <w:rPr>
          <w:rFonts w:hint="eastAsia" w:ascii="仿宋_GB2312" w:hAnsi="仿宋_GB2312" w:eastAsia="仿宋_GB2312" w:cs="仿宋_GB2312"/>
          <w:sz w:val="32"/>
          <w:szCs w:val="32"/>
          <w:lang w:val="en-US" w:eastAsia="zh-CN"/>
        </w:rPr>
        <w:t>其他社会保障和就业支出</w:t>
      </w:r>
      <w:r>
        <w:rPr>
          <w:rFonts w:hint="eastAsia" w:ascii="仿宋_GB2312" w:hAnsi="仿宋_GB2312" w:eastAsia="仿宋_GB2312" w:cs="仿宋_GB2312"/>
          <w:sz w:val="32"/>
          <w:szCs w:val="32"/>
        </w:rPr>
        <w:t>（项）。</w:t>
      </w:r>
    </w:p>
    <w:p w14:paraId="4DF742DD">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年初预算为</w:t>
      </w:r>
      <w:r>
        <w:rPr>
          <w:rFonts w:hint="eastAsia" w:ascii="仿宋_GB2312" w:hAnsi="仿宋_GB2312" w:eastAsia="仿宋_GB2312" w:cs="仿宋_GB2312"/>
          <w:sz w:val="32"/>
          <w:szCs w:val="32"/>
          <w:lang w:val="en-US" w:eastAsia="zh-CN"/>
        </w:rPr>
        <w:t>1.1</w:t>
      </w:r>
      <w:r>
        <w:rPr>
          <w:rFonts w:hint="eastAsia" w:ascii="仿宋_GB2312" w:hAnsi="仿宋_GB2312" w:eastAsia="仿宋_GB2312" w:cs="仿宋_GB2312"/>
          <w:sz w:val="32"/>
          <w:szCs w:val="32"/>
        </w:rPr>
        <w:t>万元，支出决算为</w:t>
      </w:r>
      <w:r>
        <w:rPr>
          <w:rFonts w:hint="eastAsia" w:ascii="仿宋_GB2312" w:hAnsi="仿宋_GB2312" w:eastAsia="仿宋_GB2312" w:cs="仿宋_GB2312"/>
          <w:sz w:val="32"/>
          <w:szCs w:val="32"/>
          <w:lang w:val="en-US" w:eastAsia="zh-CN"/>
        </w:rPr>
        <w:t>1.1</w:t>
      </w:r>
      <w:r>
        <w:rPr>
          <w:rFonts w:hint="eastAsia" w:ascii="仿宋_GB2312" w:hAnsi="仿宋_GB2312" w:eastAsia="仿宋_GB2312" w:cs="仿宋_GB2312"/>
          <w:sz w:val="32"/>
          <w:szCs w:val="32"/>
        </w:rPr>
        <w:t>万元，完成年初预算的</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sz w:val="32"/>
          <w:szCs w:val="32"/>
        </w:rPr>
        <w:t>%，决算数</w:t>
      </w:r>
      <w:r>
        <w:rPr>
          <w:rFonts w:hint="eastAsia" w:ascii="仿宋_GB2312" w:hAnsi="仿宋_GB2312" w:eastAsia="仿宋_GB2312" w:cs="仿宋_GB2312"/>
          <w:sz w:val="32"/>
          <w:szCs w:val="32"/>
          <w:lang w:val="en-US" w:eastAsia="zh-CN"/>
        </w:rPr>
        <w:t>等于</w:t>
      </w:r>
      <w:r>
        <w:rPr>
          <w:rFonts w:hint="eastAsia" w:ascii="仿宋_GB2312" w:hAnsi="仿宋_GB2312" w:eastAsia="仿宋_GB2312" w:cs="仿宋_GB2312"/>
          <w:sz w:val="32"/>
          <w:szCs w:val="32"/>
        </w:rPr>
        <w:t>年初预算数</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我单位严格按预算执行决算</w:t>
      </w:r>
      <w:r>
        <w:rPr>
          <w:rFonts w:hint="eastAsia" w:ascii="仿宋_GB2312" w:hAnsi="仿宋_GB2312" w:eastAsia="仿宋_GB2312" w:cs="仿宋_GB2312"/>
          <w:sz w:val="32"/>
          <w:szCs w:val="32"/>
          <w:lang w:eastAsia="zh-CN"/>
        </w:rPr>
        <w:t>。</w:t>
      </w:r>
    </w:p>
    <w:p w14:paraId="5021E7B8">
      <w:pPr>
        <w:widowControl w:val="0"/>
        <w:autoSpaceDE w:val="0"/>
        <w:autoSpaceDN w:val="0"/>
        <w:adjustRightInd w:val="0"/>
        <w:ind w:firstLine="800" w:firstLineChars="250"/>
        <w:rPr>
          <w:rFonts w:hint="eastAsia" w:ascii="仿宋_GB2312" w:hAnsi="仿宋_GB2312" w:eastAsia="仿宋_GB2312" w:cs="仿宋_GB2312"/>
          <w:color w:val="000000"/>
          <w:kern w:val="0"/>
          <w:sz w:val="32"/>
          <w:szCs w:val="32"/>
          <w:lang w:val="en-US" w:eastAsia="zh-CN" w:bidi="ar-SA"/>
        </w:rPr>
      </w:pPr>
      <w:r>
        <w:rPr>
          <w:rFonts w:hint="eastAsia" w:ascii="仿宋_GB2312" w:hAnsi="仿宋_GB2312" w:eastAsia="仿宋_GB2312" w:cs="仿宋_GB2312"/>
          <w:color w:val="000000"/>
          <w:kern w:val="0"/>
          <w:sz w:val="32"/>
          <w:szCs w:val="32"/>
          <w:lang w:val="en-US" w:eastAsia="zh-CN" w:bidi="ar-SA"/>
        </w:rPr>
        <w:t>4、</w:t>
      </w:r>
      <w:r>
        <w:rPr>
          <w:rFonts w:hint="eastAsia" w:ascii="仿宋_GB2312" w:hAnsi="仿宋_GB2312" w:eastAsia="仿宋_GB2312" w:cs="仿宋_GB2312"/>
          <w:sz w:val="32"/>
          <w:szCs w:val="32"/>
          <w:lang w:val="en-US" w:eastAsia="zh-CN"/>
        </w:rPr>
        <w:t>卫生健康支出</w:t>
      </w:r>
      <w:r>
        <w:rPr>
          <w:rFonts w:hint="eastAsia" w:ascii="仿宋_GB2312" w:hAnsi="仿宋_GB2312" w:eastAsia="仿宋_GB2312" w:cs="仿宋_GB2312"/>
          <w:sz w:val="32"/>
          <w:szCs w:val="32"/>
        </w:rPr>
        <w:t>（类）</w:t>
      </w:r>
      <w:r>
        <w:rPr>
          <w:rFonts w:hint="eastAsia" w:ascii="仿宋_GB2312" w:hAnsi="仿宋_GB2312" w:eastAsia="仿宋_GB2312" w:cs="仿宋_GB2312"/>
          <w:sz w:val="32"/>
          <w:szCs w:val="32"/>
          <w:lang w:val="en-US" w:eastAsia="zh-CN"/>
        </w:rPr>
        <w:t>公共卫生</w:t>
      </w:r>
      <w:r>
        <w:rPr>
          <w:rFonts w:hint="eastAsia" w:ascii="仿宋_GB2312" w:hAnsi="仿宋_GB2312" w:eastAsia="仿宋_GB2312" w:cs="仿宋_GB2312"/>
          <w:sz w:val="32"/>
          <w:szCs w:val="32"/>
        </w:rPr>
        <w:t>（款）</w:t>
      </w:r>
      <w:r>
        <w:rPr>
          <w:rFonts w:hint="eastAsia" w:ascii="仿宋_GB2312" w:hAnsi="仿宋_GB2312" w:eastAsia="仿宋_GB2312" w:cs="仿宋_GB2312"/>
          <w:sz w:val="32"/>
          <w:szCs w:val="32"/>
          <w:lang w:val="en-US" w:eastAsia="zh-CN"/>
        </w:rPr>
        <w:t>采供血机构</w:t>
      </w:r>
      <w:r>
        <w:rPr>
          <w:rFonts w:hint="eastAsia" w:ascii="仿宋_GB2312" w:hAnsi="仿宋_GB2312" w:eastAsia="仿宋_GB2312" w:cs="仿宋_GB2312"/>
          <w:sz w:val="32"/>
          <w:szCs w:val="32"/>
        </w:rPr>
        <w:t>（项）</w:t>
      </w:r>
    </w:p>
    <w:p w14:paraId="2A6E7F32">
      <w:pPr>
        <w:widowControl w:val="0"/>
        <w:autoSpaceDE w:val="0"/>
        <w:autoSpaceDN w:val="0"/>
        <w:adjustRightInd w:val="0"/>
        <w:ind w:firstLine="640" w:firstLineChars="200"/>
        <w:rPr>
          <w:rFonts w:hint="eastAsia" w:ascii="仿宋_GB2312" w:hAnsi="仿宋_GB2312" w:eastAsia="仿宋_GB2312" w:cs="仿宋_GB2312"/>
          <w:color w:val="000000"/>
          <w:kern w:val="0"/>
          <w:sz w:val="32"/>
          <w:szCs w:val="32"/>
          <w:lang w:val="en-US" w:eastAsia="zh-CN" w:bidi="ar-SA"/>
        </w:rPr>
      </w:pPr>
      <w:r>
        <w:rPr>
          <w:rFonts w:hint="eastAsia" w:ascii="仿宋_GB2312" w:hAnsi="仿宋_GB2312" w:eastAsia="仿宋_GB2312" w:cs="仿宋_GB2312"/>
          <w:color w:val="000000"/>
          <w:kern w:val="0"/>
          <w:sz w:val="32"/>
          <w:szCs w:val="32"/>
          <w:lang w:val="en-US" w:eastAsia="zh-CN" w:bidi="ar-SA"/>
        </w:rPr>
        <w:t>年初预算为万8396.35元，支出决算数为7901.74万元，完成年初预算的94.11%，决算数小于年初预算数的主要原因是采血量下降，血液收入下降，预算收入没完成，所以决算数支出小于预算数。</w:t>
      </w:r>
    </w:p>
    <w:p w14:paraId="4CBB9C04">
      <w:pPr>
        <w:widowControl w:val="0"/>
        <w:numPr>
          <w:ilvl w:val="0"/>
          <w:numId w:val="0"/>
        </w:numPr>
        <w:autoSpaceDE w:val="0"/>
        <w:autoSpaceDN w:val="0"/>
        <w:adjustRightInd w:val="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5、卫生健康支出</w:t>
      </w:r>
      <w:r>
        <w:rPr>
          <w:rFonts w:hint="eastAsia" w:ascii="仿宋_GB2312" w:hAnsi="仿宋_GB2312" w:eastAsia="仿宋_GB2312" w:cs="仿宋_GB2312"/>
          <w:sz w:val="32"/>
          <w:szCs w:val="32"/>
        </w:rPr>
        <w:t>（类）</w:t>
      </w:r>
      <w:r>
        <w:rPr>
          <w:rFonts w:hint="eastAsia" w:ascii="仿宋_GB2312" w:hAnsi="仿宋_GB2312" w:eastAsia="仿宋_GB2312" w:cs="仿宋_GB2312"/>
          <w:sz w:val="32"/>
          <w:szCs w:val="32"/>
          <w:lang w:val="en-US" w:eastAsia="zh-CN"/>
        </w:rPr>
        <w:t>公共卫生</w:t>
      </w:r>
      <w:r>
        <w:rPr>
          <w:rFonts w:hint="eastAsia" w:ascii="仿宋_GB2312" w:hAnsi="仿宋_GB2312" w:eastAsia="仿宋_GB2312" w:cs="仿宋_GB2312"/>
          <w:sz w:val="32"/>
          <w:szCs w:val="32"/>
        </w:rPr>
        <w:t>（款）</w:t>
      </w:r>
      <w:r>
        <w:rPr>
          <w:rFonts w:hint="eastAsia" w:ascii="仿宋_GB2312" w:hAnsi="仿宋_GB2312" w:eastAsia="仿宋_GB2312" w:cs="仿宋_GB2312"/>
          <w:sz w:val="32"/>
          <w:szCs w:val="32"/>
          <w:lang w:val="en-US" w:eastAsia="zh-CN"/>
        </w:rPr>
        <w:t>重大公共卫生服务</w:t>
      </w:r>
      <w:r>
        <w:rPr>
          <w:rFonts w:hint="eastAsia" w:ascii="仿宋_GB2312" w:hAnsi="仿宋_GB2312" w:eastAsia="仿宋_GB2312" w:cs="仿宋_GB2312"/>
          <w:sz w:val="32"/>
          <w:szCs w:val="32"/>
        </w:rPr>
        <w:t>（项）</w:t>
      </w:r>
    </w:p>
    <w:p w14:paraId="3B8DFD3A">
      <w:pPr>
        <w:widowControl w:val="0"/>
        <w:numPr>
          <w:ilvl w:val="0"/>
          <w:numId w:val="0"/>
        </w:numPr>
        <w:autoSpaceDE w:val="0"/>
        <w:autoSpaceDN w:val="0"/>
        <w:adjustRightInd w:val="0"/>
        <w:ind w:firstLine="640" w:firstLineChars="200"/>
        <w:rPr>
          <w:rFonts w:hint="eastAsia" w:ascii="仿宋" w:hAnsi="仿宋" w:eastAsia="仿宋" w:cs="仿宋"/>
          <w:sz w:val="32"/>
          <w:szCs w:val="32"/>
          <w:lang w:val="en-US" w:eastAsia="zh-CN"/>
        </w:rPr>
      </w:pPr>
      <w:r>
        <w:rPr>
          <w:rFonts w:hint="eastAsia" w:ascii="Times New Roman" w:hAnsi="Times New Roman" w:eastAsia="仿宋_GB2312"/>
          <w:sz w:val="32"/>
          <w:szCs w:val="32"/>
          <w:lang w:val="en-US" w:eastAsia="zh-CN"/>
        </w:rPr>
        <w:t>年初预算数为0万元，支出决算数为260.5万元，由于预算数为0，无法计算百分比。决算数大于年初预</w:t>
      </w:r>
      <w:r>
        <w:rPr>
          <w:rFonts w:hint="eastAsia" w:ascii="仿宋_GB2312" w:hAnsi="仿宋_GB2312" w:eastAsia="仿宋_GB2312" w:cs="仿宋_GB2312"/>
          <w:sz w:val="32"/>
          <w:szCs w:val="32"/>
        </w:rPr>
        <w:t>算数的主要原因是</w:t>
      </w:r>
      <w:r>
        <w:rPr>
          <w:rFonts w:hint="eastAsia" w:ascii="仿宋_GB2312" w:hAnsi="仿宋_GB2312" w:eastAsia="仿宋_GB2312" w:cs="仿宋_GB2312"/>
          <w:sz w:val="32"/>
          <w:szCs w:val="32"/>
          <w:lang w:val="en-US" w:eastAsia="zh-CN"/>
        </w:rPr>
        <w:t>2024年收财政局拨款</w:t>
      </w:r>
      <w:r>
        <w:rPr>
          <w:rFonts w:hint="eastAsia" w:ascii="Times New Roman" w:hAnsi="Times New Roman" w:eastAsia="仿宋_GB2312"/>
          <w:sz w:val="32"/>
          <w:szCs w:val="32"/>
          <w:lang w:val="en-US" w:eastAsia="zh-CN"/>
        </w:rPr>
        <w:t>中央转移支付艾滋病防治血液</w:t>
      </w:r>
      <w:r>
        <w:rPr>
          <w:rFonts w:hint="eastAsia" w:ascii="仿宋" w:hAnsi="仿宋" w:eastAsia="仿宋" w:cs="仿宋"/>
          <w:sz w:val="32"/>
          <w:szCs w:val="32"/>
          <w:lang w:val="en-US" w:eastAsia="zh-CN"/>
        </w:rPr>
        <w:t>安全资金260.5万元。</w:t>
      </w:r>
    </w:p>
    <w:p w14:paraId="78397749">
      <w:pPr>
        <w:widowControl w:val="0"/>
        <w:numPr>
          <w:ilvl w:val="0"/>
          <w:numId w:val="0"/>
        </w:numPr>
        <w:autoSpaceDE w:val="0"/>
        <w:autoSpaceDN w:val="0"/>
        <w:adjustRightInd w:val="0"/>
        <w:ind w:firstLine="640" w:firstLineChars="200"/>
        <w:rPr>
          <w:rFonts w:hint="eastAsia" w:ascii="仿宋_GB2312" w:hAnsi="仿宋_GB2312" w:eastAsia="仿宋_GB2312" w:cs="仿宋_GB2312"/>
          <w:sz w:val="32"/>
          <w:szCs w:val="32"/>
        </w:rPr>
      </w:pPr>
      <w:r>
        <w:rPr>
          <w:rFonts w:hint="eastAsia" w:ascii="仿宋" w:hAnsi="仿宋" w:eastAsia="仿宋" w:cs="仿宋"/>
          <w:sz w:val="32"/>
          <w:szCs w:val="32"/>
          <w:lang w:val="en-US" w:eastAsia="zh-CN"/>
        </w:rPr>
        <w:t>6、</w:t>
      </w:r>
      <w:r>
        <w:rPr>
          <w:rFonts w:hint="eastAsia" w:ascii="仿宋_GB2312" w:hAnsi="仿宋_GB2312" w:eastAsia="仿宋_GB2312" w:cs="仿宋_GB2312"/>
          <w:sz w:val="32"/>
          <w:szCs w:val="32"/>
          <w:lang w:val="en-US" w:eastAsia="zh-CN"/>
        </w:rPr>
        <w:t>住房保障支出</w:t>
      </w:r>
      <w:r>
        <w:rPr>
          <w:rFonts w:hint="eastAsia" w:ascii="仿宋_GB2312" w:hAnsi="仿宋_GB2312" w:eastAsia="仿宋_GB2312" w:cs="仿宋_GB2312"/>
          <w:sz w:val="32"/>
          <w:szCs w:val="32"/>
        </w:rPr>
        <w:t>（类）</w:t>
      </w:r>
      <w:r>
        <w:rPr>
          <w:rFonts w:hint="eastAsia" w:ascii="仿宋_GB2312" w:hAnsi="仿宋_GB2312" w:eastAsia="仿宋_GB2312" w:cs="仿宋_GB2312"/>
          <w:sz w:val="32"/>
          <w:szCs w:val="32"/>
          <w:lang w:val="en-US" w:eastAsia="zh-CN"/>
        </w:rPr>
        <w:t>住房改革支出</w:t>
      </w:r>
      <w:r>
        <w:rPr>
          <w:rFonts w:hint="eastAsia" w:ascii="仿宋_GB2312" w:hAnsi="仿宋_GB2312" w:eastAsia="仿宋_GB2312" w:cs="仿宋_GB2312"/>
          <w:sz w:val="32"/>
          <w:szCs w:val="32"/>
        </w:rPr>
        <w:t>（款）</w:t>
      </w:r>
      <w:r>
        <w:rPr>
          <w:rFonts w:hint="eastAsia" w:ascii="仿宋_GB2312" w:hAnsi="仿宋_GB2312" w:eastAsia="仿宋_GB2312" w:cs="仿宋_GB2312"/>
          <w:sz w:val="32"/>
          <w:szCs w:val="32"/>
          <w:lang w:val="en-US" w:eastAsia="zh-CN"/>
        </w:rPr>
        <w:t>住房公积金</w:t>
      </w:r>
      <w:r>
        <w:rPr>
          <w:rFonts w:hint="eastAsia" w:ascii="仿宋_GB2312" w:hAnsi="仿宋_GB2312" w:eastAsia="仿宋_GB2312" w:cs="仿宋_GB2312"/>
          <w:sz w:val="32"/>
          <w:szCs w:val="32"/>
        </w:rPr>
        <w:t>（项）</w:t>
      </w:r>
    </w:p>
    <w:p w14:paraId="4FF785FA">
      <w:pPr>
        <w:widowControl w:val="0"/>
        <w:numPr>
          <w:ilvl w:val="0"/>
          <w:numId w:val="0"/>
        </w:numPr>
        <w:autoSpaceDE w:val="0"/>
        <w:autoSpaceDN w:val="0"/>
        <w:adjustRightInd w:val="0"/>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年初预算数为74.3万元，支出决算数为74.3万元，完成年初预算数的100%</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决算数</w:t>
      </w:r>
      <w:r>
        <w:rPr>
          <w:rFonts w:hint="eastAsia" w:ascii="仿宋_GB2312" w:hAnsi="仿宋_GB2312" w:eastAsia="仿宋_GB2312" w:cs="仿宋_GB2312"/>
          <w:sz w:val="32"/>
          <w:szCs w:val="32"/>
          <w:lang w:val="en-US" w:eastAsia="zh-CN"/>
        </w:rPr>
        <w:t>等于年</w:t>
      </w:r>
      <w:r>
        <w:rPr>
          <w:rFonts w:hint="eastAsia" w:ascii="仿宋_GB2312" w:hAnsi="仿宋_GB2312" w:eastAsia="仿宋_GB2312" w:cs="仿宋_GB2312"/>
          <w:sz w:val="32"/>
          <w:szCs w:val="32"/>
        </w:rPr>
        <w:t>初预算数</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我单位严格按预算执行决算</w:t>
      </w:r>
      <w:r>
        <w:rPr>
          <w:rFonts w:hint="eastAsia" w:ascii="仿宋_GB2312" w:hAnsi="仿宋_GB2312" w:eastAsia="仿宋_GB2312" w:cs="仿宋_GB2312"/>
          <w:sz w:val="32"/>
          <w:szCs w:val="32"/>
          <w:lang w:eastAsia="zh-CN"/>
        </w:rPr>
        <w:t>。</w:t>
      </w:r>
    </w:p>
    <w:p w14:paraId="373E8BA2">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六、一般公共预算财政拨款基本支出决算情况说明</w:t>
      </w:r>
    </w:p>
    <w:p w14:paraId="293AEB61">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年度</w:t>
      </w:r>
      <w:r>
        <w:rPr>
          <w:rFonts w:hint="eastAsia" w:ascii="仿宋_GB2312" w:hAnsi="仿宋_GB2312" w:eastAsia="仿宋_GB2312" w:cs="仿宋_GB2312"/>
          <w:sz w:val="32"/>
          <w:szCs w:val="32"/>
          <w:lang w:eastAsia="zh-CN"/>
        </w:rPr>
        <w:t>一般公共预算</w:t>
      </w:r>
      <w:r>
        <w:rPr>
          <w:rFonts w:hint="eastAsia" w:ascii="仿宋_GB2312" w:hAnsi="仿宋_GB2312" w:eastAsia="仿宋_GB2312" w:cs="仿宋_GB2312"/>
          <w:sz w:val="32"/>
          <w:szCs w:val="32"/>
        </w:rPr>
        <w:t>财政拨款基本支出</w:t>
      </w:r>
      <w:r>
        <w:rPr>
          <w:rFonts w:hint="eastAsia" w:ascii="仿宋_GB2312" w:hAnsi="仿宋_GB2312" w:eastAsia="仿宋_GB2312" w:cs="仿宋_GB2312"/>
          <w:sz w:val="32"/>
          <w:szCs w:val="32"/>
          <w:lang w:val="en-US" w:eastAsia="zh-CN"/>
        </w:rPr>
        <w:t>8100.05</w:t>
      </w:r>
      <w:r>
        <w:rPr>
          <w:rFonts w:hint="eastAsia" w:ascii="仿宋_GB2312" w:hAnsi="仿宋_GB2312" w:eastAsia="仿宋_GB2312" w:cs="仿宋_GB2312"/>
          <w:sz w:val="32"/>
          <w:szCs w:val="32"/>
        </w:rPr>
        <w:t>万元，其中：</w:t>
      </w:r>
    </w:p>
    <w:p w14:paraId="763B7849">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color w:val="FF0000"/>
          <w:sz w:val="32"/>
          <w:szCs w:val="32"/>
          <w:lang w:eastAsia="zh-CN"/>
        </w:rPr>
      </w:pPr>
      <w:r>
        <w:rPr>
          <w:rFonts w:hint="eastAsia" w:ascii="仿宋_GB2312" w:hAnsi="仿宋_GB2312" w:eastAsia="仿宋_GB2312" w:cs="仿宋_GB2312"/>
          <w:b/>
          <w:bCs/>
          <w:sz w:val="32"/>
          <w:szCs w:val="32"/>
        </w:rPr>
        <w:t>人员经费</w:t>
      </w:r>
      <w:r>
        <w:rPr>
          <w:rFonts w:hint="eastAsia" w:ascii="仿宋_GB2312" w:hAnsi="仿宋_GB2312" w:eastAsia="仿宋_GB2312" w:cs="仿宋_GB2312"/>
          <w:sz w:val="32"/>
          <w:szCs w:val="32"/>
          <w:lang w:val="en-US" w:eastAsia="zh-CN"/>
        </w:rPr>
        <w:t>2380.04</w:t>
      </w:r>
      <w:r>
        <w:rPr>
          <w:rFonts w:hint="eastAsia" w:ascii="仿宋_GB2312" w:hAnsi="仿宋_GB2312" w:eastAsia="仿宋_GB2312" w:cs="仿宋_GB2312"/>
          <w:sz w:val="32"/>
          <w:szCs w:val="32"/>
        </w:rPr>
        <w:t>万元，占基本支出的</w:t>
      </w:r>
      <w:r>
        <w:rPr>
          <w:rFonts w:hint="eastAsia" w:ascii="仿宋_GB2312" w:hAnsi="仿宋_GB2312" w:eastAsia="仿宋_GB2312" w:cs="仿宋_GB2312"/>
          <w:sz w:val="32"/>
          <w:szCs w:val="32"/>
          <w:lang w:val="en-US" w:eastAsia="zh-CN"/>
        </w:rPr>
        <w:t>29.38</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w:t>
      </w:r>
      <w:r>
        <w:rPr>
          <w:rFonts w:hint="eastAsia" w:ascii="Times New Roman" w:hAnsi="Times New Roman" w:eastAsia="仿宋_GB2312"/>
          <w:sz w:val="32"/>
          <w:szCs w:val="32"/>
        </w:rPr>
        <w:t>主要包括基本工资、津贴补贴、奖金、伙食补助费</w:t>
      </w:r>
      <w:r>
        <w:rPr>
          <w:rFonts w:hint="eastAsia" w:ascii="Times New Roman" w:hAnsi="Times New Roman" w:eastAsia="仿宋_GB2312"/>
          <w:sz w:val="32"/>
          <w:szCs w:val="32"/>
          <w:lang w:eastAsia="zh-CN"/>
        </w:rPr>
        <w:t>、</w:t>
      </w:r>
      <w:r>
        <w:rPr>
          <w:rFonts w:hint="eastAsia" w:ascii="Times New Roman" w:hAnsi="Times New Roman" w:eastAsia="仿宋_GB2312"/>
          <w:sz w:val="32"/>
          <w:szCs w:val="32"/>
          <w:lang w:val="en-US" w:eastAsia="zh-CN"/>
        </w:rPr>
        <w:t>其他付个人和家庭的补助（退休人员费用）等</w:t>
      </w:r>
      <w:r>
        <w:rPr>
          <w:rFonts w:hint="eastAsia" w:ascii="Times New Roman" w:hAnsi="Times New Roman" w:eastAsia="仿宋_GB2312"/>
          <w:sz w:val="32"/>
          <w:szCs w:val="32"/>
          <w:lang w:eastAsia="zh-CN"/>
        </w:rPr>
        <w:t>。</w:t>
      </w:r>
    </w:p>
    <w:p w14:paraId="48A9DFBB">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仿宋_GB2312" w:hAnsi="仿宋_GB2312" w:eastAsia="仿宋_GB2312" w:cs="仿宋_GB2312"/>
          <w:b w:val="0"/>
          <w:bCs/>
          <w:sz w:val="32"/>
          <w:szCs w:val="32"/>
        </w:rPr>
      </w:pPr>
      <w:r>
        <w:rPr>
          <w:rFonts w:hint="eastAsia" w:ascii="仿宋_GB2312" w:hAnsi="仿宋_GB2312" w:eastAsia="仿宋_GB2312" w:cs="仿宋_GB2312"/>
          <w:b/>
          <w:bCs/>
          <w:sz w:val="32"/>
          <w:szCs w:val="32"/>
        </w:rPr>
        <w:t>公用经费</w:t>
      </w:r>
      <w:r>
        <w:rPr>
          <w:rFonts w:hint="eastAsia" w:ascii="仿宋_GB2312" w:hAnsi="仿宋_GB2312" w:eastAsia="仿宋_GB2312" w:cs="仿宋_GB2312"/>
          <w:sz w:val="32"/>
          <w:szCs w:val="32"/>
          <w:lang w:val="en-US" w:eastAsia="zh-CN"/>
        </w:rPr>
        <w:t>5720.01</w:t>
      </w:r>
      <w:r>
        <w:rPr>
          <w:rFonts w:hint="eastAsia" w:ascii="仿宋_GB2312" w:hAnsi="仿宋_GB2312" w:eastAsia="仿宋_GB2312" w:cs="仿宋_GB2312"/>
          <w:sz w:val="32"/>
          <w:szCs w:val="32"/>
        </w:rPr>
        <w:t>万元，占基本支出的</w:t>
      </w:r>
      <w:r>
        <w:rPr>
          <w:rFonts w:hint="eastAsia" w:ascii="仿宋_GB2312" w:hAnsi="仿宋_GB2312" w:eastAsia="仿宋_GB2312" w:cs="仿宋_GB2312"/>
          <w:sz w:val="32"/>
          <w:szCs w:val="32"/>
          <w:lang w:val="en-US" w:eastAsia="zh-CN"/>
        </w:rPr>
        <w:t>70.62</w:t>
      </w:r>
      <w:r>
        <w:rPr>
          <w:rFonts w:hint="eastAsia" w:ascii="仿宋_GB2312" w:hAnsi="仿宋_GB2312" w:eastAsia="仿宋_GB2312" w:cs="仿宋_GB2312"/>
          <w:sz w:val="32"/>
          <w:szCs w:val="32"/>
        </w:rPr>
        <w:t>%，</w:t>
      </w:r>
      <w:r>
        <w:rPr>
          <w:rFonts w:hint="eastAsia" w:ascii="Times New Roman" w:hAnsi="Times New Roman" w:eastAsia="仿宋_GB2312"/>
          <w:sz w:val="32"/>
          <w:szCs w:val="32"/>
        </w:rPr>
        <w:t>主要包括办公费、印刷费、</w:t>
      </w:r>
      <w:r>
        <w:rPr>
          <w:rFonts w:hint="eastAsia" w:ascii="Times New Roman" w:hAnsi="Times New Roman" w:eastAsia="仿宋_GB2312"/>
          <w:sz w:val="32"/>
          <w:szCs w:val="32"/>
          <w:highlight w:val="none"/>
        </w:rPr>
        <w:t>咨询费、手续费</w:t>
      </w:r>
      <w:r>
        <w:rPr>
          <w:rFonts w:hint="eastAsia" w:ascii="Times New Roman" w:hAnsi="Times New Roman" w:eastAsia="仿宋_GB2312"/>
          <w:sz w:val="32"/>
          <w:szCs w:val="32"/>
          <w:highlight w:val="none"/>
          <w:lang w:eastAsia="zh-CN"/>
        </w:rPr>
        <w:t>、</w:t>
      </w:r>
      <w:r>
        <w:rPr>
          <w:rFonts w:hint="eastAsia" w:ascii="Times New Roman" w:hAnsi="Times New Roman" w:eastAsia="仿宋_GB2312"/>
          <w:sz w:val="32"/>
          <w:szCs w:val="32"/>
          <w:highlight w:val="none"/>
          <w:lang w:val="en-US" w:eastAsia="zh-CN"/>
        </w:rPr>
        <w:t>专用材料费、免费用血报销、无偿献血宣传、设备购置等。</w:t>
      </w:r>
    </w:p>
    <w:p w14:paraId="238B2762">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七、政府性基金预算收入支出决算情况</w:t>
      </w:r>
    </w:p>
    <w:p w14:paraId="12592558">
      <w:pPr>
        <w:pStyle w:val="14"/>
        <w:keepNext w:val="0"/>
        <w:keepLines w:val="0"/>
        <w:pageBreakBefore w:val="0"/>
        <w:widowControl w:val="0"/>
        <w:kinsoku/>
        <w:wordWrap/>
        <w:overflowPunct/>
        <w:topLinePunct w:val="0"/>
        <w:bidi w:val="0"/>
        <w:snapToGrid/>
        <w:spacing w:line="600" w:lineRule="exact"/>
        <w:textAlignment w:val="auto"/>
        <w:rPr>
          <w:rFonts w:hint="eastAsia" w:ascii="仿宋_GB2312" w:hAnsi="仿宋_GB2312" w:eastAsia="仿宋_GB2312" w:cs="仿宋_GB2312"/>
          <w:b/>
          <w:bCs/>
          <w:i/>
          <w:color w:val="auto"/>
          <w:kern w:val="0"/>
          <w:sz w:val="32"/>
          <w:szCs w:val="32"/>
          <w:lang w:val="en-US" w:eastAsia="zh-CN" w:bidi="ar-SA"/>
        </w:rPr>
      </w:pPr>
      <w:r>
        <w:rPr>
          <w:rFonts w:hint="eastAsia" w:ascii="Times New Roman" w:hAnsi="Times New Roman" w:eastAsia="仿宋_GB2312"/>
          <w:sz w:val="32"/>
          <w:szCs w:val="32"/>
        </w:rPr>
        <w:t xml:space="preserve">     </w:t>
      </w: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年度政府性基金预算财政拨款收入</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万元；年初结转和结余</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万元；支出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万元，其中基本支出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万元，项目支出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万元；年末结转和结余</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w:t>
      </w:r>
    </w:p>
    <w:p w14:paraId="28BDC771">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黑体" w:hAnsi="黑体" w:eastAsia="黑体" w:cs="黑体"/>
          <w:b w:val="0"/>
          <w:bCs/>
          <w:color w:val="000000"/>
          <w:kern w:val="0"/>
          <w:sz w:val="32"/>
          <w:szCs w:val="32"/>
          <w:lang w:val="en-US" w:eastAsia="zh-CN" w:bidi="ar-SA"/>
        </w:rPr>
      </w:pPr>
      <w:r>
        <w:rPr>
          <w:rFonts w:hint="eastAsia" w:ascii="黑体" w:hAnsi="黑体" w:eastAsia="黑体" w:cs="黑体"/>
          <w:b w:val="0"/>
          <w:bCs/>
          <w:color w:val="000000"/>
          <w:kern w:val="0"/>
          <w:sz w:val="32"/>
          <w:szCs w:val="32"/>
          <w:lang w:val="en-US" w:eastAsia="zh-CN" w:bidi="ar-SA"/>
        </w:rPr>
        <w:t>八、国有资本经营预算财政拨款支出决算情况</w:t>
      </w:r>
    </w:p>
    <w:p w14:paraId="155FE196">
      <w:pPr>
        <w:widowControl w:val="0"/>
        <w:autoSpaceDE w:val="0"/>
        <w:autoSpaceDN w:val="0"/>
        <w:adjustRightInd w:val="0"/>
        <w:ind w:firstLine="640" w:firstLineChars="200"/>
        <w:rPr>
          <w:rFonts w:hint="eastAsia" w:ascii="仿宋_GB2312" w:hAnsi="仿宋_GB2312" w:eastAsia="仿宋_GB2312" w:cs="仿宋_GB2312"/>
          <w:color w:val="000000"/>
          <w:kern w:val="0"/>
          <w:sz w:val="32"/>
          <w:szCs w:val="32"/>
          <w:highlight w:val="none"/>
          <w:lang w:val="en-US" w:eastAsia="zh-CN" w:bidi="ar-SA"/>
        </w:rPr>
      </w:pPr>
      <w:r>
        <w:rPr>
          <w:rFonts w:hint="eastAsia" w:ascii="仿宋_GB2312" w:hAnsi="仿宋_GB2312" w:eastAsia="仿宋_GB2312" w:cs="仿宋_GB2312"/>
          <w:color w:val="000000"/>
          <w:kern w:val="0"/>
          <w:sz w:val="32"/>
          <w:szCs w:val="32"/>
          <w:highlight w:val="none"/>
          <w:lang w:val="en-US" w:eastAsia="zh-CN" w:bidi="ar-SA"/>
        </w:rPr>
        <w:t>2024年度国有资本经营预算财政拨款收入0万元；年初结转和结余0万；支出0万元，</w:t>
      </w:r>
      <w:r>
        <w:rPr>
          <w:rFonts w:hint="eastAsia" w:ascii="仿宋_GB2312" w:hAnsi="仿宋_GB2312" w:eastAsia="仿宋_GB2312" w:cs="仿宋_GB2312"/>
          <w:i w:val="0"/>
          <w:iCs/>
          <w:color w:val="000000" w:themeColor="text1"/>
          <w:kern w:val="0"/>
          <w:sz w:val="32"/>
          <w:szCs w:val="32"/>
          <w:highlight w:val="none"/>
          <w:lang w:val="en-US" w:eastAsia="zh-CN" w:bidi="ar-SA"/>
          <w14:textFill>
            <w14:solidFill>
              <w14:schemeClr w14:val="tx1"/>
            </w14:solidFill>
          </w14:textFill>
        </w:rPr>
        <w:t>其中：基本支出0万元，项目支出0万元</w:t>
      </w:r>
      <w:r>
        <w:rPr>
          <w:rFonts w:hint="eastAsia" w:ascii="仿宋_GB2312" w:hAnsi="仿宋_GB2312" w:eastAsia="仿宋_GB2312" w:cs="仿宋_GB2312"/>
          <w:color w:val="000000"/>
          <w:kern w:val="0"/>
          <w:sz w:val="32"/>
          <w:szCs w:val="32"/>
          <w:highlight w:val="none"/>
          <w:lang w:val="en-US" w:eastAsia="zh-CN" w:bidi="ar-SA"/>
        </w:rPr>
        <w:t>；年末结转和结余0万元。</w:t>
      </w:r>
    </w:p>
    <w:p w14:paraId="5876C252">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hAnsi="黑体" w:cs="黑体"/>
          <w:b w:val="0"/>
          <w:bCs/>
          <w:sz w:val="32"/>
          <w:szCs w:val="32"/>
          <w:lang w:eastAsia="zh-CN"/>
        </w:rPr>
        <w:t>九、</w:t>
      </w:r>
      <w:r>
        <w:rPr>
          <w:rFonts w:hint="eastAsia" w:ascii="黑体" w:hAnsi="黑体" w:eastAsia="黑体" w:cs="黑体"/>
          <w:b w:val="0"/>
          <w:bCs/>
          <w:sz w:val="32"/>
          <w:szCs w:val="32"/>
        </w:rPr>
        <w:t>财政拨款三公经费支出决算情况说明</w:t>
      </w:r>
    </w:p>
    <w:p w14:paraId="6298EF1D">
      <w:pPr>
        <w:pStyle w:val="14"/>
        <w:overflowPunct w:val="0"/>
        <w:autoSpaceDE/>
        <w:autoSpaceDN/>
        <w:spacing w:line="600" w:lineRule="exact"/>
        <w:ind w:firstLine="640" w:firstLineChars="200"/>
        <w:jc w:val="both"/>
        <w:rPr>
          <w:rFonts w:ascii="Times New Roman" w:hAnsi="Times New Roman" w:eastAsia="楷体_GB2312" w:cs="Times New Roman"/>
          <w:b/>
          <w:sz w:val="32"/>
          <w:szCs w:val="32"/>
        </w:rPr>
      </w:pPr>
      <w:r>
        <w:rPr>
          <w:rFonts w:ascii="Times New Roman" w:hAnsi="Times New Roman" w:eastAsia="楷体_GB2312" w:cs="Times New Roman"/>
          <w:b/>
          <w:sz w:val="32"/>
          <w:szCs w:val="32"/>
        </w:rPr>
        <w:t>（一）</w:t>
      </w:r>
      <w:r>
        <w:rPr>
          <w:rFonts w:hint="eastAsia" w:ascii="Times New Roman" w:hAnsi="Times New Roman" w:eastAsia="楷体_GB2312" w:cs="Times New Roman"/>
          <w:b/>
          <w:sz w:val="32"/>
          <w:szCs w:val="32"/>
          <w:lang w:eastAsia="zh-CN"/>
        </w:rPr>
        <w:t>“三公”</w:t>
      </w:r>
      <w:r>
        <w:rPr>
          <w:rFonts w:ascii="Times New Roman" w:hAnsi="Times New Roman" w:eastAsia="楷体_GB2312" w:cs="Times New Roman"/>
          <w:b/>
          <w:sz w:val="32"/>
          <w:szCs w:val="32"/>
        </w:rPr>
        <w:t>经费财政拨款支出决算总体情况说明</w:t>
      </w:r>
    </w:p>
    <w:p w14:paraId="2641CE25">
      <w:pPr>
        <w:pStyle w:val="14"/>
        <w:overflowPunct w:val="0"/>
        <w:autoSpaceDE/>
        <w:autoSpaceDN/>
        <w:spacing w:line="600" w:lineRule="exact"/>
        <w:ind w:firstLine="640" w:firstLineChars="200"/>
        <w:jc w:val="both"/>
        <w:rPr>
          <w:rFonts w:hint="default" w:ascii="Times New Roman" w:hAnsi="Times New Roman" w:eastAsia="仿宋_GB2312" w:cs="Times New Roman"/>
          <w:sz w:val="32"/>
          <w:szCs w:val="32"/>
          <w:lang w:val="en-US" w:eastAsia="zh-CN"/>
        </w:rPr>
      </w:pPr>
      <w:r>
        <w:rPr>
          <w:rFonts w:ascii="Times New Roman" w:hAnsi="Times New Roman" w:eastAsia="仿宋_GB2312" w:cs="Times New Roman"/>
          <w:sz w:val="32"/>
          <w:szCs w:val="32"/>
        </w:rPr>
        <w:t>2024年度“三公”经费财政拨款支出预算为</w:t>
      </w:r>
      <w:r>
        <w:rPr>
          <w:rFonts w:hint="eastAsia" w:ascii="Times New Roman" w:hAnsi="Times New Roman" w:eastAsia="仿宋_GB2312" w:cs="Times New Roman"/>
          <w:sz w:val="32"/>
          <w:szCs w:val="32"/>
          <w:lang w:val="en-US" w:eastAsia="zh-CN"/>
        </w:rPr>
        <w:t>106.92</w:t>
      </w:r>
      <w:r>
        <w:rPr>
          <w:rFonts w:ascii="Times New Roman" w:hAnsi="Times New Roman" w:eastAsia="仿宋_GB2312" w:cs="Times New Roman"/>
          <w:sz w:val="32"/>
          <w:szCs w:val="32"/>
        </w:rPr>
        <w:t>万元，支出决算为</w:t>
      </w:r>
      <w:r>
        <w:rPr>
          <w:rFonts w:hint="eastAsia" w:ascii="Times New Roman" w:hAnsi="Times New Roman" w:eastAsia="仿宋_GB2312" w:cs="Times New Roman"/>
          <w:sz w:val="32"/>
          <w:szCs w:val="32"/>
          <w:lang w:val="en-US" w:eastAsia="zh-CN"/>
        </w:rPr>
        <w:t>106.92</w:t>
      </w:r>
      <w:r>
        <w:rPr>
          <w:rFonts w:ascii="Times New Roman" w:hAnsi="Times New Roman" w:eastAsia="仿宋_GB2312" w:cs="Times New Roman"/>
          <w:sz w:val="32"/>
          <w:szCs w:val="32"/>
        </w:rPr>
        <w:t>万元，完成预算的</w:t>
      </w:r>
      <w:r>
        <w:rPr>
          <w:rFonts w:hint="eastAsia" w:ascii="Times New Roman" w:hAnsi="Times New Roman" w:eastAsia="仿宋_GB2312" w:cs="Times New Roman"/>
          <w:sz w:val="32"/>
          <w:szCs w:val="32"/>
          <w:lang w:val="en-US" w:eastAsia="zh-CN"/>
        </w:rPr>
        <w:t>100</w:t>
      </w:r>
      <w:r>
        <w:rPr>
          <w:rFonts w:ascii="Times New Roman" w:hAnsi="Times New Roman" w:eastAsia="仿宋_GB2312" w:cs="Times New Roman"/>
          <w:sz w:val="32"/>
          <w:szCs w:val="32"/>
        </w:rPr>
        <w:t>%；与上年相比增加</w:t>
      </w:r>
      <w:r>
        <w:rPr>
          <w:rFonts w:hint="eastAsia" w:ascii="Times New Roman" w:hAnsi="Times New Roman" w:eastAsia="仿宋_GB2312" w:cs="Times New Roman"/>
          <w:sz w:val="32"/>
          <w:szCs w:val="32"/>
          <w:lang w:val="en-US" w:eastAsia="zh-CN"/>
        </w:rPr>
        <w:t>66.05</w:t>
      </w:r>
      <w:r>
        <w:rPr>
          <w:rFonts w:ascii="Times New Roman" w:hAnsi="Times New Roman" w:eastAsia="仿宋_GB2312" w:cs="Times New Roman"/>
          <w:sz w:val="32"/>
          <w:szCs w:val="32"/>
        </w:rPr>
        <w:t>万元，增长</w:t>
      </w:r>
      <w:r>
        <w:rPr>
          <w:rFonts w:hint="eastAsia" w:ascii="Times New Roman" w:hAnsi="Times New Roman" w:eastAsia="仿宋_GB2312" w:cs="Times New Roman"/>
          <w:sz w:val="32"/>
          <w:szCs w:val="32"/>
          <w:lang w:val="en-US" w:eastAsia="zh-CN"/>
        </w:rPr>
        <w:t>161.61</w:t>
      </w:r>
      <w:r>
        <w:rPr>
          <w:rFonts w:ascii="Times New Roman" w:hAnsi="Times New Roman" w:eastAsia="仿宋_GB2312" w:cs="Times New Roman"/>
          <w:sz w:val="32"/>
          <w:szCs w:val="32"/>
        </w:rPr>
        <w:t>%。决算数</w:t>
      </w:r>
      <w:r>
        <w:rPr>
          <w:rFonts w:hint="eastAsia" w:ascii="Times New Roman" w:hAnsi="Times New Roman" w:eastAsia="仿宋_GB2312" w:cs="Times New Roman"/>
          <w:sz w:val="32"/>
          <w:szCs w:val="32"/>
          <w:lang w:val="en-US" w:eastAsia="zh-CN"/>
        </w:rPr>
        <w:t>等于</w:t>
      </w:r>
      <w:r>
        <w:rPr>
          <w:rFonts w:ascii="Times New Roman" w:hAnsi="Times New Roman" w:eastAsia="仿宋_GB2312" w:cs="Times New Roman"/>
          <w:sz w:val="32"/>
          <w:szCs w:val="32"/>
        </w:rPr>
        <w:t>预算数</w:t>
      </w:r>
      <w:r>
        <w:rPr>
          <w:rFonts w:hint="eastAsia" w:ascii="Times New Roman" w:hAnsi="Times New Roman" w:eastAsia="仿宋_GB2312" w:cs="Times New Roman"/>
          <w:sz w:val="32"/>
          <w:szCs w:val="32"/>
          <w:lang w:eastAsia="zh-CN"/>
        </w:rPr>
        <w:t>，</w:t>
      </w:r>
      <w:r>
        <w:rPr>
          <w:rFonts w:hint="eastAsia" w:ascii="Times New Roman" w:hAnsi="Times New Roman" w:eastAsia="仿宋_GB2312" w:cs="Times New Roman"/>
          <w:sz w:val="32"/>
          <w:szCs w:val="32"/>
          <w:lang w:val="en-US" w:eastAsia="zh-CN"/>
        </w:rPr>
        <w:t>主要原因是我单位严格按预算执行决算。</w:t>
      </w:r>
    </w:p>
    <w:p w14:paraId="352D03A7">
      <w:pPr>
        <w:pStyle w:val="14"/>
        <w:overflowPunct w:val="0"/>
        <w:autoSpaceDE/>
        <w:autoSpaceDN/>
        <w:spacing w:line="600" w:lineRule="exact"/>
        <w:ind w:firstLine="640" w:firstLineChars="200"/>
        <w:jc w:val="both"/>
        <w:rPr>
          <w:rFonts w:ascii="Times New Roman" w:hAnsi="Times New Roman" w:eastAsia="楷体_GB2312" w:cs="Times New Roman"/>
          <w:b/>
          <w:sz w:val="32"/>
          <w:szCs w:val="32"/>
        </w:rPr>
      </w:pPr>
      <w:r>
        <w:rPr>
          <w:rFonts w:ascii="Times New Roman" w:hAnsi="Times New Roman" w:eastAsia="楷体_GB2312" w:cs="Times New Roman"/>
          <w:b/>
          <w:sz w:val="32"/>
          <w:szCs w:val="32"/>
        </w:rPr>
        <w:t>（二）</w:t>
      </w:r>
      <w:r>
        <w:rPr>
          <w:rFonts w:hint="eastAsia" w:ascii="Times New Roman" w:hAnsi="Times New Roman" w:eastAsia="楷体_GB2312" w:cs="Times New Roman"/>
          <w:b/>
          <w:sz w:val="32"/>
          <w:szCs w:val="32"/>
          <w:lang w:eastAsia="zh-CN"/>
        </w:rPr>
        <w:t>“三公”</w:t>
      </w:r>
      <w:r>
        <w:rPr>
          <w:rFonts w:ascii="Times New Roman" w:hAnsi="Times New Roman" w:eastAsia="楷体_GB2312" w:cs="Times New Roman"/>
          <w:b/>
          <w:sz w:val="32"/>
          <w:szCs w:val="32"/>
        </w:rPr>
        <w:t>经费财政拨款支出决算具体情况说明</w:t>
      </w:r>
    </w:p>
    <w:p w14:paraId="0A2F0258">
      <w:pPr>
        <w:pStyle w:val="14"/>
        <w:overflowPunct w:val="0"/>
        <w:autoSpaceDE/>
        <w:autoSpaceDN/>
        <w:spacing w:line="600" w:lineRule="exact"/>
        <w:ind w:firstLine="640" w:firstLineChars="200"/>
        <w:jc w:val="both"/>
        <w:rPr>
          <w:rFonts w:hint="eastAsia" w:ascii="Times New Roman" w:hAnsi="Times New Roman" w:eastAsia="仿宋_GB2312" w:cs="Times New Roman"/>
          <w:color w:val="auto"/>
          <w:sz w:val="32"/>
          <w:szCs w:val="32"/>
          <w:lang w:val="en-US" w:eastAsia="zh-CN"/>
        </w:rPr>
      </w:pPr>
      <w:r>
        <w:rPr>
          <w:rFonts w:ascii="Times New Roman" w:hAnsi="Times New Roman" w:eastAsia="仿宋_GB2312" w:cs="Times New Roman"/>
          <w:sz w:val="32"/>
          <w:szCs w:val="32"/>
        </w:rPr>
        <w:t>1.</w:t>
      </w:r>
      <w:r>
        <w:rPr>
          <w:rFonts w:ascii="Times New Roman" w:hAnsi="Times New Roman" w:eastAsia="仿宋_GB2312" w:cs="Times New Roman"/>
          <w:color w:val="auto"/>
          <w:sz w:val="32"/>
          <w:szCs w:val="32"/>
        </w:rPr>
        <w:t>因公出国（境）费支出预算为</w:t>
      </w:r>
      <w:r>
        <w:rPr>
          <w:rFonts w:hint="eastAsia" w:ascii="Times New Roman" w:hAnsi="Times New Roman" w:eastAsia="仿宋_GB2312" w:cs="Times New Roman"/>
          <w:color w:val="auto"/>
          <w:sz w:val="32"/>
          <w:szCs w:val="32"/>
          <w:lang w:val="en-US" w:eastAsia="zh-CN"/>
        </w:rPr>
        <w:t>0</w:t>
      </w:r>
      <w:r>
        <w:rPr>
          <w:rFonts w:ascii="Times New Roman" w:hAnsi="Times New Roman" w:eastAsia="仿宋_GB2312" w:cs="Times New Roman"/>
          <w:color w:val="auto"/>
          <w:sz w:val="32"/>
          <w:szCs w:val="32"/>
        </w:rPr>
        <w:t>万元，支出决算为</w:t>
      </w:r>
      <w:r>
        <w:rPr>
          <w:rFonts w:hint="eastAsia" w:ascii="Times New Roman" w:hAnsi="Times New Roman" w:eastAsia="仿宋_GB2312" w:cs="Times New Roman"/>
          <w:color w:val="auto"/>
          <w:sz w:val="32"/>
          <w:szCs w:val="32"/>
          <w:lang w:val="en-US" w:eastAsia="zh-CN"/>
        </w:rPr>
        <w:t>0</w:t>
      </w:r>
      <w:r>
        <w:rPr>
          <w:rFonts w:ascii="Times New Roman" w:hAnsi="Times New Roman" w:eastAsia="仿宋_GB2312" w:cs="Times New Roman"/>
          <w:color w:val="auto"/>
          <w:sz w:val="32"/>
          <w:szCs w:val="32"/>
        </w:rPr>
        <w:t>万元，</w:t>
      </w:r>
      <w:r>
        <w:rPr>
          <w:rFonts w:hint="eastAsia" w:ascii="Times New Roman" w:hAnsi="Times New Roman" w:eastAsia="仿宋_GB2312" w:cs="Times New Roman"/>
          <w:color w:val="auto"/>
          <w:sz w:val="32"/>
          <w:szCs w:val="32"/>
          <w:lang w:eastAsia="zh-CN"/>
        </w:rPr>
        <w:t>决算数等于预算数</w:t>
      </w:r>
      <w:r>
        <w:rPr>
          <w:rFonts w:hint="eastAsia" w:ascii="Times New Roman" w:hAnsi="Times New Roman" w:eastAsia="仿宋_GB2312" w:cs="Times New Roman"/>
          <w:color w:val="auto"/>
          <w:sz w:val="32"/>
          <w:szCs w:val="32"/>
          <w:lang w:val="en-US" w:eastAsia="zh-CN"/>
        </w:rPr>
        <w:t>，主要原因是我单位严格按预算执行决算</w:t>
      </w:r>
      <w:r>
        <w:rPr>
          <w:rFonts w:ascii="Times New Roman" w:hAnsi="Times New Roman" w:eastAsia="仿宋_GB2312" w:cs="Times New Roman"/>
          <w:color w:val="auto"/>
          <w:sz w:val="32"/>
          <w:szCs w:val="32"/>
        </w:rPr>
        <w:t>；</w:t>
      </w:r>
      <w:r>
        <w:rPr>
          <w:rFonts w:hint="eastAsia" w:ascii="Times New Roman" w:hAnsi="Times New Roman" w:eastAsia="仿宋_GB2312" w:cs="Times New Roman"/>
          <w:color w:val="auto"/>
          <w:sz w:val="32"/>
          <w:szCs w:val="32"/>
          <w:lang w:val="en-US" w:eastAsia="zh-CN"/>
        </w:rPr>
        <w:t>与上年一致，无增减变动，主要原因是未安排因公出国（境）活动。</w:t>
      </w:r>
      <w:r>
        <w:rPr>
          <w:rFonts w:ascii="Times New Roman" w:hAnsi="Times New Roman" w:eastAsia="仿宋_GB2312" w:cs="Times New Roman"/>
          <w:color w:val="auto"/>
          <w:sz w:val="32"/>
          <w:szCs w:val="32"/>
        </w:rPr>
        <w:t>2024年度安排因公出国（境）团组</w:t>
      </w:r>
      <w:r>
        <w:rPr>
          <w:rFonts w:hint="eastAsia" w:ascii="Times New Roman" w:hAnsi="Times New Roman" w:eastAsia="仿宋_GB2312" w:cs="Times New Roman"/>
          <w:color w:val="auto"/>
          <w:sz w:val="32"/>
          <w:szCs w:val="32"/>
          <w:lang w:val="en-US" w:eastAsia="zh-CN"/>
        </w:rPr>
        <w:t>0</w:t>
      </w:r>
      <w:r>
        <w:rPr>
          <w:rFonts w:ascii="Times New Roman" w:hAnsi="Times New Roman" w:eastAsia="仿宋_GB2312" w:cs="Times New Roman"/>
          <w:color w:val="auto"/>
          <w:sz w:val="32"/>
          <w:szCs w:val="32"/>
        </w:rPr>
        <w:t>个，累计</w:t>
      </w:r>
      <w:r>
        <w:rPr>
          <w:rFonts w:hint="eastAsia" w:ascii="Times New Roman" w:hAnsi="Times New Roman" w:eastAsia="仿宋_GB2312" w:cs="Times New Roman"/>
          <w:color w:val="auto"/>
          <w:sz w:val="32"/>
          <w:szCs w:val="32"/>
          <w:lang w:val="en-US" w:eastAsia="zh-CN"/>
        </w:rPr>
        <w:t>0</w:t>
      </w:r>
      <w:r>
        <w:rPr>
          <w:rFonts w:ascii="Times New Roman" w:hAnsi="Times New Roman" w:eastAsia="仿宋_GB2312" w:cs="Times New Roman"/>
          <w:color w:val="auto"/>
          <w:sz w:val="32"/>
          <w:szCs w:val="32"/>
        </w:rPr>
        <w:t>人次</w:t>
      </w:r>
      <w:r>
        <w:rPr>
          <w:rFonts w:hint="eastAsia" w:ascii="Times New Roman" w:hAnsi="Times New Roman" w:eastAsia="仿宋_GB2312" w:cs="Times New Roman"/>
          <w:color w:val="auto"/>
          <w:sz w:val="32"/>
          <w:szCs w:val="32"/>
          <w:lang w:eastAsia="zh-CN"/>
        </w:rPr>
        <w:t>。</w:t>
      </w:r>
    </w:p>
    <w:p w14:paraId="65978CAB">
      <w:pPr>
        <w:pStyle w:val="14"/>
        <w:overflowPunct w:val="0"/>
        <w:autoSpaceDE/>
        <w:autoSpaceDN/>
        <w:spacing w:line="600" w:lineRule="exact"/>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2.公务用车购置费及运行维护费支出预算为</w:t>
      </w:r>
      <w:r>
        <w:rPr>
          <w:rFonts w:hint="eastAsia" w:ascii="Times New Roman" w:hAnsi="Times New Roman" w:eastAsia="仿宋_GB2312" w:cs="Times New Roman"/>
          <w:sz w:val="32"/>
          <w:szCs w:val="32"/>
          <w:lang w:val="en-US" w:eastAsia="zh-CN"/>
        </w:rPr>
        <w:t>105.73</w:t>
      </w:r>
      <w:r>
        <w:rPr>
          <w:rFonts w:ascii="Times New Roman" w:hAnsi="Times New Roman" w:eastAsia="仿宋_GB2312" w:cs="Times New Roman"/>
          <w:sz w:val="32"/>
          <w:szCs w:val="32"/>
        </w:rPr>
        <w:t>万元，支出决算为</w:t>
      </w:r>
      <w:r>
        <w:rPr>
          <w:rFonts w:hint="eastAsia" w:ascii="Times New Roman" w:hAnsi="Times New Roman" w:eastAsia="仿宋_GB2312" w:cs="Times New Roman"/>
          <w:sz w:val="32"/>
          <w:szCs w:val="32"/>
          <w:lang w:val="en-US" w:eastAsia="zh-CN"/>
        </w:rPr>
        <w:t>105.73</w:t>
      </w:r>
      <w:r>
        <w:rPr>
          <w:rFonts w:ascii="Times New Roman" w:hAnsi="Times New Roman" w:eastAsia="仿宋_GB2312" w:cs="Times New Roman"/>
          <w:sz w:val="32"/>
          <w:szCs w:val="32"/>
        </w:rPr>
        <w:t>万元，完成预算的</w:t>
      </w:r>
      <w:r>
        <w:rPr>
          <w:rFonts w:hint="eastAsia" w:ascii="Times New Roman" w:hAnsi="Times New Roman" w:eastAsia="仿宋_GB2312" w:cs="Times New Roman"/>
          <w:sz w:val="32"/>
          <w:szCs w:val="32"/>
          <w:lang w:val="en-US" w:eastAsia="zh-CN"/>
        </w:rPr>
        <w:t>100</w:t>
      </w: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lang w:eastAsia="zh-CN"/>
        </w:rPr>
        <w:t>，</w:t>
      </w:r>
      <w:r>
        <w:rPr>
          <w:rFonts w:hint="eastAsia" w:ascii="仿宋_GB2312" w:hAnsi="仿宋_GB2312" w:eastAsia="仿宋_GB2312" w:cs="仿宋_GB2312"/>
          <w:sz w:val="32"/>
          <w:szCs w:val="32"/>
          <w:lang w:val="en-US" w:eastAsia="zh-CN"/>
        </w:rPr>
        <w:t>决算数等于预算数</w:t>
      </w:r>
      <w:r>
        <w:rPr>
          <w:rFonts w:hint="eastAsia" w:ascii="仿宋_GB2312" w:hAnsi="仿宋_GB2312" w:eastAsia="仿宋_GB2312" w:cs="仿宋_GB2312"/>
          <w:sz w:val="32"/>
          <w:szCs w:val="32"/>
        </w:rPr>
        <w:t>，</w:t>
      </w:r>
      <w:r>
        <w:rPr>
          <w:rFonts w:hint="eastAsia" w:ascii="仿宋_GB2312" w:hAnsi="仿宋_GB2312" w:eastAsia="仿宋_GB2312" w:cs="仿宋_GB2312"/>
          <w:b w:val="0"/>
          <w:bCs/>
          <w:color w:val="auto"/>
          <w:kern w:val="0"/>
          <w:sz w:val="32"/>
          <w:szCs w:val="32"/>
          <w:lang w:val="en-US" w:eastAsia="zh-CN" w:bidi="ar-SA"/>
        </w:rPr>
        <w:t>主要原因是我单位严格按预算执行决算</w:t>
      </w:r>
      <w:r>
        <w:rPr>
          <w:rFonts w:ascii="Times New Roman" w:hAnsi="Times New Roman" w:eastAsia="仿宋_GB2312" w:cs="Times New Roman"/>
          <w:sz w:val="32"/>
          <w:szCs w:val="32"/>
        </w:rPr>
        <w:t>；与上年相比增加</w:t>
      </w:r>
      <w:r>
        <w:rPr>
          <w:rFonts w:hint="eastAsia" w:ascii="Times New Roman" w:hAnsi="Times New Roman" w:eastAsia="仿宋_GB2312" w:cs="Times New Roman"/>
          <w:sz w:val="32"/>
          <w:szCs w:val="32"/>
          <w:lang w:val="en-US" w:eastAsia="zh-CN"/>
        </w:rPr>
        <w:t>66.29</w:t>
      </w:r>
      <w:r>
        <w:rPr>
          <w:rFonts w:ascii="Times New Roman" w:hAnsi="Times New Roman" w:eastAsia="仿宋_GB2312" w:cs="Times New Roman"/>
          <w:sz w:val="32"/>
          <w:szCs w:val="32"/>
        </w:rPr>
        <w:t>万元，增长</w:t>
      </w:r>
      <w:r>
        <w:rPr>
          <w:rFonts w:hint="eastAsia" w:ascii="Times New Roman" w:hAnsi="Times New Roman" w:eastAsia="仿宋_GB2312" w:cs="Times New Roman"/>
          <w:sz w:val="32"/>
          <w:szCs w:val="32"/>
          <w:lang w:val="en-US" w:eastAsia="zh-CN"/>
        </w:rPr>
        <w:t>168.08</w:t>
      </w:r>
      <w:r>
        <w:rPr>
          <w:rFonts w:ascii="Times New Roman" w:hAnsi="Times New Roman" w:eastAsia="仿宋_GB2312" w:cs="Times New Roman"/>
          <w:sz w:val="32"/>
          <w:szCs w:val="32"/>
        </w:rPr>
        <w:t>%。其中：</w:t>
      </w:r>
    </w:p>
    <w:p w14:paraId="07AF86AC">
      <w:pPr>
        <w:pStyle w:val="14"/>
        <w:overflowPunct w:val="0"/>
        <w:autoSpaceDE/>
        <w:autoSpaceDN/>
        <w:spacing w:line="600" w:lineRule="exact"/>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公务用车购置费支出预算为</w:t>
      </w:r>
      <w:r>
        <w:rPr>
          <w:rFonts w:hint="eastAsia" w:ascii="Times New Roman" w:hAnsi="Times New Roman" w:eastAsia="仿宋_GB2312" w:cs="Times New Roman"/>
          <w:sz w:val="32"/>
          <w:szCs w:val="32"/>
          <w:lang w:val="en-US" w:eastAsia="zh-CN"/>
        </w:rPr>
        <w:t>79.9</w:t>
      </w:r>
      <w:r>
        <w:rPr>
          <w:rFonts w:ascii="Times New Roman" w:hAnsi="Times New Roman" w:eastAsia="仿宋_GB2312" w:cs="Times New Roman"/>
          <w:sz w:val="32"/>
          <w:szCs w:val="32"/>
        </w:rPr>
        <w:t>万元，支出决算为</w:t>
      </w:r>
      <w:r>
        <w:rPr>
          <w:rFonts w:hint="eastAsia" w:ascii="Times New Roman" w:hAnsi="Times New Roman" w:eastAsia="仿宋_GB2312" w:cs="Times New Roman"/>
          <w:sz w:val="32"/>
          <w:szCs w:val="32"/>
          <w:lang w:val="en-US" w:eastAsia="zh-CN"/>
        </w:rPr>
        <w:t>79.9</w:t>
      </w:r>
      <w:r>
        <w:rPr>
          <w:rFonts w:ascii="Times New Roman" w:hAnsi="Times New Roman" w:eastAsia="仿宋_GB2312" w:cs="Times New Roman"/>
          <w:sz w:val="32"/>
          <w:szCs w:val="32"/>
        </w:rPr>
        <w:t>万元，完成预算的</w:t>
      </w:r>
      <w:r>
        <w:rPr>
          <w:rFonts w:hint="eastAsia" w:ascii="Times New Roman" w:hAnsi="Times New Roman" w:eastAsia="仿宋_GB2312" w:cs="Times New Roman"/>
          <w:sz w:val="32"/>
          <w:szCs w:val="32"/>
          <w:lang w:val="en-US" w:eastAsia="zh-CN"/>
        </w:rPr>
        <w:t>100</w:t>
      </w:r>
      <w:r>
        <w:rPr>
          <w:rFonts w:ascii="Times New Roman" w:hAnsi="Times New Roman" w:eastAsia="仿宋_GB2312" w:cs="Times New Roman"/>
          <w:sz w:val="32"/>
          <w:szCs w:val="32"/>
        </w:rPr>
        <w:t>%；与上年相比增加</w:t>
      </w:r>
      <w:r>
        <w:rPr>
          <w:rFonts w:hint="eastAsia" w:ascii="Times New Roman" w:hAnsi="Times New Roman" w:eastAsia="仿宋_GB2312" w:cs="Times New Roman"/>
          <w:sz w:val="32"/>
          <w:szCs w:val="32"/>
          <w:lang w:val="en-US" w:eastAsia="zh-CN"/>
        </w:rPr>
        <w:t>61.92</w:t>
      </w:r>
      <w:r>
        <w:rPr>
          <w:rFonts w:ascii="Times New Roman" w:hAnsi="Times New Roman" w:eastAsia="仿宋_GB2312" w:cs="Times New Roman"/>
          <w:sz w:val="32"/>
          <w:szCs w:val="32"/>
        </w:rPr>
        <w:t>万元，增长</w:t>
      </w:r>
      <w:r>
        <w:rPr>
          <w:rFonts w:hint="eastAsia" w:ascii="Times New Roman" w:hAnsi="Times New Roman" w:eastAsia="仿宋_GB2312" w:cs="Times New Roman"/>
          <w:sz w:val="32"/>
          <w:szCs w:val="32"/>
          <w:lang w:val="en-US" w:eastAsia="zh-CN"/>
        </w:rPr>
        <w:t>344.38</w:t>
      </w:r>
      <w:r>
        <w:rPr>
          <w:rFonts w:ascii="Times New Roman" w:hAnsi="Times New Roman" w:eastAsia="仿宋_GB2312" w:cs="Times New Roman"/>
          <w:sz w:val="32"/>
          <w:szCs w:val="32"/>
        </w:rPr>
        <w:t>%。决算数</w:t>
      </w:r>
      <w:r>
        <w:rPr>
          <w:rFonts w:hint="eastAsia" w:ascii="Times New Roman" w:hAnsi="Times New Roman" w:eastAsia="仿宋_GB2312" w:cs="Times New Roman"/>
          <w:sz w:val="32"/>
          <w:szCs w:val="32"/>
          <w:lang w:val="en-US" w:eastAsia="zh-CN"/>
        </w:rPr>
        <w:t>等于</w:t>
      </w:r>
      <w:r>
        <w:rPr>
          <w:rFonts w:ascii="Times New Roman" w:hAnsi="Times New Roman" w:eastAsia="仿宋_GB2312" w:cs="Times New Roman"/>
          <w:sz w:val="32"/>
          <w:szCs w:val="32"/>
        </w:rPr>
        <w:t>预算数的主要原因是</w:t>
      </w:r>
      <w:r>
        <w:rPr>
          <w:rFonts w:hint="eastAsia" w:ascii="Times New Roman" w:hAnsi="Times New Roman" w:eastAsia="仿宋_GB2312" w:cs="Times New Roman"/>
          <w:sz w:val="32"/>
          <w:szCs w:val="32"/>
          <w:lang w:val="en-US" w:eastAsia="zh-CN"/>
        </w:rPr>
        <w:t>我单位严格按预算执行决算，</w:t>
      </w:r>
      <w:r>
        <w:rPr>
          <w:rFonts w:ascii="Times New Roman" w:hAnsi="Times New Roman" w:eastAsia="仿宋_GB2312" w:cs="Times New Roman"/>
          <w:sz w:val="32"/>
          <w:szCs w:val="32"/>
        </w:rPr>
        <w:t>决算数大于上年数的主要原因是</w:t>
      </w:r>
      <w:r>
        <w:rPr>
          <w:rFonts w:hint="eastAsia" w:ascii="仿宋_GB2312" w:hAnsi="仿宋_GB2312" w:eastAsia="仿宋_GB2312" w:cs="仿宋_GB2312"/>
          <w:sz w:val="32"/>
          <w:szCs w:val="32"/>
          <w:lang w:val="en-US" w:eastAsia="zh-CN"/>
        </w:rPr>
        <w:t>依据机关事务局审批购置采血车1辆</w:t>
      </w: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lang w:val="en-US" w:eastAsia="zh-CN"/>
        </w:rPr>
        <w:t>岳阳市中心血站</w:t>
      </w:r>
      <w:r>
        <w:rPr>
          <w:rFonts w:ascii="Times New Roman" w:hAnsi="Times New Roman" w:eastAsia="仿宋_GB2312" w:cs="Times New Roman"/>
          <w:sz w:val="32"/>
          <w:szCs w:val="32"/>
        </w:rPr>
        <w:t>更新公务用车</w:t>
      </w:r>
      <w:r>
        <w:rPr>
          <w:rFonts w:hint="eastAsia" w:ascii="Times New Roman" w:hAnsi="Times New Roman" w:eastAsia="仿宋_GB2312" w:cs="Times New Roman"/>
          <w:sz w:val="32"/>
          <w:szCs w:val="32"/>
          <w:lang w:val="en-US" w:eastAsia="zh-CN"/>
        </w:rPr>
        <w:t>1</w:t>
      </w:r>
      <w:r>
        <w:rPr>
          <w:rFonts w:ascii="Times New Roman" w:hAnsi="Times New Roman" w:eastAsia="仿宋_GB2312" w:cs="Times New Roman"/>
          <w:sz w:val="32"/>
          <w:szCs w:val="32"/>
        </w:rPr>
        <w:t>辆</w:t>
      </w:r>
      <w:r>
        <w:rPr>
          <w:rFonts w:hint="eastAsia" w:ascii="Times New Roman" w:hAnsi="Times New Roman" w:eastAsia="仿宋_GB2312" w:cs="Times New Roman"/>
          <w:sz w:val="32"/>
          <w:szCs w:val="32"/>
          <w:lang w:eastAsia="zh-CN"/>
        </w:rPr>
        <w:t>（</w:t>
      </w:r>
      <w:r>
        <w:rPr>
          <w:rFonts w:hint="eastAsia" w:ascii="Times New Roman" w:hAnsi="Times New Roman" w:eastAsia="仿宋_GB2312" w:cs="Times New Roman"/>
          <w:sz w:val="32"/>
          <w:szCs w:val="32"/>
          <w:lang w:val="en-US" w:eastAsia="zh-CN"/>
        </w:rPr>
        <w:t>采血车</w:t>
      </w:r>
      <w:r>
        <w:rPr>
          <w:rFonts w:hint="eastAsia" w:ascii="Times New Roman" w:hAnsi="Times New Roman" w:eastAsia="仿宋_GB2312" w:cs="Times New Roman"/>
          <w:sz w:val="32"/>
          <w:szCs w:val="32"/>
          <w:lang w:eastAsia="zh-CN"/>
        </w:rPr>
        <w:t>）</w:t>
      </w:r>
      <w:r>
        <w:rPr>
          <w:rFonts w:ascii="Times New Roman" w:hAnsi="Times New Roman" w:eastAsia="仿宋_GB2312" w:cs="Times New Roman"/>
          <w:color w:val="000000" w:themeColor="text1"/>
          <w:sz w:val="32"/>
          <w:szCs w:val="32"/>
          <w14:textFill>
            <w14:solidFill>
              <w14:schemeClr w14:val="tx1"/>
            </w14:solidFill>
          </w14:textFill>
        </w:rPr>
        <w:t>。</w:t>
      </w:r>
    </w:p>
    <w:p w14:paraId="1D422951">
      <w:pPr>
        <w:pStyle w:val="14"/>
        <w:overflowPunct w:val="0"/>
        <w:autoSpaceDE/>
        <w:autoSpaceDN/>
        <w:spacing w:line="600" w:lineRule="exact"/>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公务用车运行维护费支出预算为</w:t>
      </w:r>
      <w:r>
        <w:rPr>
          <w:rFonts w:hint="eastAsia" w:ascii="Times New Roman" w:hAnsi="Times New Roman" w:eastAsia="仿宋_GB2312" w:cs="Times New Roman"/>
          <w:sz w:val="32"/>
          <w:szCs w:val="32"/>
          <w:lang w:val="en-US" w:eastAsia="zh-CN"/>
        </w:rPr>
        <w:t>25.83</w:t>
      </w:r>
      <w:r>
        <w:rPr>
          <w:rFonts w:ascii="Times New Roman" w:hAnsi="Times New Roman" w:eastAsia="仿宋_GB2312" w:cs="Times New Roman"/>
          <w:sz w:val="32"/>
          <w:szCs w:val="32"/>
        </w:rPr>
        <w:t>万元，支出决算为</w:t>
      </w:r>
      <w:r>
        <w:rPr>
          <w:rFonts w:hint="eastAsia" w:ascii="Times New Roman" w:hAnsi="Times New Roman" w:eastAsia="仿宋_GB2312" w:cs="Times New Roman"/>
          <w:sz w:val="32"/>
          <w:szCs w:val="32"/>
          <w:lang w:val="en-US" w:eastAsia="zh-CN"/>
        </w:rPr>
        <w:t>25.83</w:t>
      </w:r>
      <w:r>
        <w:rPr>
          <w:rFonts w:ascii="Times New Roman" w:hAnsi="Times New Roman" w:eastAsia="仿宋_GB2312" w:cs="Times New Roman"/>
          <w:sz w:val="32"/>
          <w:szCs w:val="32"/>
        </w:rPr>
        <w:t>万元，</w:t>
      </w:r>
    </w:p>
    <w:p w14:paraId="75A272CE">
      <w:pPr>
        <w:pStyle w:val="14"/>
        <w:overflowPunct w:val="0"/>
        <w:autoSpaceDE/>
        <w:autoSpaceDN/>
        <w:spacing w:line="600" w:lineRule="exact"/>
        <w:jc w:val="both"/>
        <w:rPr>
          <w:rFonts w:ascii="Times New Roman" w:hAnsi="Times New Roman" w:eastAsia="楷体" w:cs="Times New Roman"/>
          <w:b/>
          <w:bCs/>
          <w:i/>
          <w:color w:val="FF0000"/>
          <w:sz w:val="32"/>
          <w:szCs w:val="32"/>
        </w:rPr>
      </w:pPr>
      <w:r>
        <w:rPr>
          <w:rFonts w:ascii="Times New Roman" w:hAnsi="Times New Roman" w:eastAsia="仿宋_GB2312" w:cs="Times New Roman"/>
          <w:sz w:val="32"/>
          <w:szCs w:val="32"/>
        </w:rPr>
        <w:t>主要是</w:t>
      </w:r>
      <w:r>
        <w:rPr>
          <w:rFonts w:hint="eastAsia" w:ascii="Times New Roman" w:hAnsi="Times New Roman" w:eastAsia="仿宋_GB2312" w:cs="Times New Roman"/>
          <w:sz w:val="32"/>
          <w:szCs w:val="32"/>
          <w:lang w:val="en-US" w:eastAsia="zh-CN"/>
        </w:rPr>
        <w:t>我单位采血车和送血车维修维护</w:t>
      </w:r>
      <w:r>
        <w:rPr>
          <w:rFonts w:ascii="Times New Roman" w:hAnsi="Times New Roman" w:eastAsia="仿宋_GB2312" w:cs="Times New Roman"/>
          <w:sz w:val="32"/>
          <w:szCs w:val="32"/>
        </w:rPr>
        <w:t>支出，完成预算的</w:t>
      </w:r>
      <w:r>
        <w:rPr>
          <w:rFonts w:hint="eastAsia" w:ascii="Times New Roman" w:hAnsi="Times New Roman" w:eastAsia="仿宋_GB2312" w:cs="Times New Roman"/>
          <w:sz w:val="32"/>
          <w:szCs w:val="32"/>
          <w:lang w:val="en-US" w:eastAsia="zh-CN"/>
        </w:rPr>
        <w:t>100</w:t>
      </w:r>
      <w:r>
        <w:rPr>
          <w:rFonts w:ascii="Times New Roman" w:hAnsi="Times New Roman" w:eastAsia="仿宋_GB2312" w:cs="Times New Roman"/>
          <w:sz w:val="32"/>
          <w:szCs w:val="32"/>
        </w:rPr>
        <w:t>%；与上年相比增加</w:t>
      </w:r>
      <w:r>
        <w:rPr>
          <w:rFonts w:hint="eastAsia" w:ascii="Times New Roman" w:hAnsi="Times New Roman" w:eastAsia="仿宋_GB2312" w:cs="Times New Roman"/>
          <w:sz w:val="32"/>
          <w:szCs w:val="32"/>
          <w:lang w:val="en-US" w:eastAsia="zh-CN"/>
        </w:rPr>
        <w:t>4.37</w:t>
      </w:r>
      <w:r>
        <w:rPr>
          <w:rFonts w:ascii="Times New Roman" w:hAnsi="Times New Roman" w:eastAsia="仿宋_GB2312" w:cs="Times New Roman"/>
          <w:sz w:val="32"/>
          <w:szCs w:val="32"/>
        </w:rPr>
        <w:t>万元，增长</w:t>
      </w:r>
      <w:r>
        <w:rPr>
          <w:rFonts w:hint="eastAsia" w:ascii="Times New Roman" w:hAnsi="Times New Roman" w:eastAsia="仿宋_GB2312" w:cs="Times New Roman"/>
          <w:sz w:val="32"/>
          <w:szCs w:val="32"/>
          <w:lang w:val="en-US" w:eastAsia="zh-CN"/>
        </w:rPr>
        <w:t>20.36</w:t>
      </w:r>
      <w:r>
        <w:rPr>
          <w:rFonts w:ascii="Times New Roman" w:hAnsi="Times New Roman" w:eastAsia="仿宋_GB2312" w:cs="Times New Roman"/>
          <w:sz w:val="32"/>
          <w:szCs w:val="32"/>
        </w:rPr>
        <w:t>%。决算数</w:t>
      </w:r>
      <w:r>
        <w:rPr>
          <w:rFonts w:hint="eastAsia" w:ascii="Times New Roman" w:hAnsi="Times New Roman" w:eastAsia="仿宋_GB2312" w:cs="Times New Roman"/>
          <w:sz w:val="32"/>
          <w:szCs w:val="32"/>
          <w:lang w:val="en-US" w:eastAsia="zh-CN"/>
        </w:rPr>
        <w:t>等于</w:t>
      </w:r>
      <w:r>
        <w:rPr>
          <w:rFonts w:ascii="Times New Roman" w:hAnsi="Times New Roman" w:eastAsia="仿宋_GB2312" w:cs="Times New Roman"/>
          <w:sz w:val="32"/>
          <w:szCs w:val="32"/>
        </w:rPr>
        <w:t>预算数的主要原因是</w:t>
      </w:r>
      <w:r>
        <w:rPr>
          <w:rFonts w:hint="eastAsia" w:ascii="Times New Roman" w:hAnsi="Times New Roman" w:eastAsia="仿宋_GB2312" w:cs="Times New Roman"/>
          <w:sz w:val="32"/>
          <w:szCs w:val="32"/>
          <w:lang w:val="en-US" w:eastAsia="zh-CN"/>
        </w:rPr>
        <w:t>我单位严格按预算执行决算。</w:t>
      </w:r>
      <w:r>
        <w:rPr>
          <w:rFonts w:ascii="Times New Roman" w:hAnsi="Times New Roman" w:eastAsia="仿宋_GB2312" w:cs="Times New Roman"/>
          <w:sz w:val="32"/>
          <w:szCs w:val="32"/>
        </w:rPr>
        <w:t>决算数大于上年数的主要原因是</w:t>
      </w:r>
      <w:r>
        <w:rPr>
          <w:rFonts w:hint="eastAsia" w:ascii="Times New Roman" w:hAnsi="Times New Roman" w:eastAsia="仿宋_GB2312" w:cs="Times New Roman"/>
          <w:sz w:val="32"/>
          <w:szCs w:val="32"/>
          <w:lang w:val="en-US" w:eastAsia="zh-CN"/>
        </w:rPr>
        <w:t>单位车辆老化，导致维修维护费增长</w:t>
      </w:r>
      <w:r>
        <w:rPr>
          <w:rFonts w:ascii="Times New Roman" w:hAnsi="Times New Roman" w:eastAsia="仿宋_GB2312" w:cs="Times New Roman"/>
          <w:sz w:val="32"/>
          <w:szCs w:val="32"/>
        </w:rPr>
        <w:t>。</w:t>
      </w:r>
      <w:r>
        <w:rPr>
          <w:rFonts w:ascii="Times New Roman" w:hAnsi="Times New Roman" w:eastAsia="仿宋_GB2312" w:cs="Times New Roman"/>
          <w:sz w:val="32"/>
          <w:szCs w:val="32"/>
          <w:highlight w:val="none"/>
        </w:rPr>
        <w:t>截止</w:t>
      </w:r>
      <w:r>
        <w:rPr>
          <w:rFonts w:hint="eastAsia" w:ascii="Times New Roman" w:hAnsi="Times New Roman" w:eastAsia="仿宋_GB2312" w:cs="Times New Roman"/>
          <w:sz w:val="32"/>
          <w:szCs w:val="32"/>
          <w:highlight w:val="none"/>
          <w:lang w:eastAsia="zh-CN"/>
        </w:rPr>
        <w:t>到</w:t>
      </w:r>
      <w:r>
        <w:rPr>
          <w:rFonts w:ascii="Times New Roman" w:hAnsi="Times New Roman" w:eastAsia="仿宋_GB2312" w:cs="Times New Roman"/>
          <w:sz w:val="32"/>
          <w:szCs w:val="32"/>
        </w:rPr>
        <w:t>2024年12月31日，我单位开支财政拨款的公务用车保有量为</w:t>
      </w:r>
      <w:r>
        <w:rPr>
          <w:rFonts w:hint="eastAsia" w:ascii="Times New Roman" w:hAnsi="Times New Roman" w:eastAsia="仿宋_GB2312" w:cs="Times New Roman"/>
          <w:sz w:val="32"/>
          <w:szCs w:val="32"/>
          <w:lang w:val="en-US" w:eastAsia="zh-CN"/>
        </w:rPr>
        <w:t>12</w:t>
      </w:r>
      <w:r>
        <w:rPr>
          <w:rFonts w:ascii="Times New Roman" w:hAnsi="Times New Roman" w:eastAsia="仿宋_GB2312" w:cs="Times New Roman"/>
          <w:sz w:val="32"/>
          <w:szCs w:val="32"/>
        </w:rPr>
        <w:t>辆。</w:t>
      </w:r>
    </w:p>
    <w:p w14:paraId="4B35674B">
      <w:pPr>
        <w:numPr>
          <w:ilvl w:val="0"/>
          <w:numId w:val="0"/>
        </w:numPr>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lang w:val="en-US" w:eastAsia="zh-CN"/>
        </w:rPr>
        <w:t>3.</w:t>
      </w:r>
      <w:r>
        <w:rPr>
          <w:rFonts w:ascii="Times New Roman" w:hAnsi="Times New Roman" w:eastAsia="仿宋_GB2312" w:cs="Times New Roman"/>
          <w:sz w:val="32"/>
          <w:szCs w:val="32"/>
        </w:rPr>
        <w:t>公务接待费支出预算为</w:t>
      </w:r>
      <w:r>
        <w:rPr>
          <w:rFonts w:hint="eastAsia" w:ascii="Times New Roman" w:hAnsi="Times New Roman" w:eastAsia="仿宋_GB2312" w:cs="Times New Roman"/>
          <w:sz w:val="32"/>
          <w:szCs w:val="32"/>
          <w:lang w:val="en-US" w:eastAsia="zh-CN"/>
        </w:rPr>
        <w:t>1.19</w:t>
      </w:r>
      <w:r>
        <w:rPr>
          <w:rFonts w:ascii="Times New Roman" w:hAnsi="Times New Roman" w:eastAsia="仿宋_GB2312" w:cs="Times New Roman"/>
          <w:sz w:val="32"/>
          <w:szCs w:val="32"/>
        </w:rPr>
        <w:t>万元，支出决算为</w:t>
      </w:r>
      <w:r>
        <w:rPr>
          <w:rFonts w:hint="eastAsia" w:ascii="Times New Roman" w:hAnsi="Times New Roman" w:eastAsia="仿宋_GB2312" w:cs="Times New Roman"/>
          <w:sz w:val="32"/>
          <w:szCs w:val="32"/>
          <w:lang w:val="en-US" w:eastAsia="zh-CN"/>
        </w:rPr>
        <w:t>1.19</w:t>
      </w:r>
      <w:r>
        <w:rPr>
          <w:rFonts w:ascii="Times New Roman" w:hAnsi="Times New Roman" w:eastAsia="仿宋_GB2312" w:cs="Times New Roman"/>
          <w:sz w:val="32"/>
          <w:szCs w:val="32"/>
        </w:rPr>
        <w:t>万元，完成预算的</w:t>
      </w:r>
      <w:r>
        <w:rPr>
          <w:rFonts w:hint="eastAsia" w:ascii="Times New Roman" w:hAnsi="Times New Roman" w:eastAsia="仿宋_GB2312" w:cs="Times New Roman"/>
          <w:sz w:val="32"/>
          <w:szCs w:val="32"/>
          <w:lang w:val="en-US" w:eastAsia="zh-CN"/>
        </w:rPr>
        <w:t>100</w:t>
      </w:r>
      <w:r>
        <w:rPr>
          <w:rFonts w:ascii="Times New Roman" w:hAnsi="Times New Roman" w:eastAsia="仿宋_GB2312" w:cs="Times New Roman"/>
          <w:sz w:val="32"/>
          <w:szCs w:val="32"/>
        </w:rPr>
        <w:t>%；与上年相比减少</w:t>
      </w:r>
      <w:r>
        <w:rPr>
          <w:rFonts w:hint="eastAsia" w:ascii="Times New Roman" w:hAnsi="Times New Roman" w:eastAsia="仿宋_GB2312" w:cs="Times New Roman"/>
          <w:sz w:val="32"/>
          <w:szCs w:val="32"/>
          <w:lang w:val="en-US" w:eastAsia="zh-CN"/>
        </w:rPr>
        <w:t>0.24</w:t>
      </w:r>
      <w:r>
        <w:rPr>
          <w:rFonts w:ascii="Times New Roman" w:hAnsi="Times New Roman" w:eastAsia="仿宋_GB2312" w:cs="Times New Roman"/>
          <w:sz w:val="32"/>
          <w:szCs w:val="32"/>
        </w:rPr>
        <w:t>万元，降低</w:t>
      </w:r>
      <w:r>
        <w:rPr>
          <w:rFonts w:hint="eastAsia" w:ascii="Times New Roman" w:hAnsi="Times New Roman" w:eastAsia="仿宋_GB2312" w:cs="Times New Roman"/>
          <w:sz w:val="32"/>
          <w:szCs w:val="32"/>
          <w:lang w:val="en-US" w:eastAsia="zh-CN"/>
        </w:rPr>
        <w:t>16.78</w:t>
      </w:r>
      <w:r>
        <w:rPr>
          <w:rFonts w:ascii="Times New Roman" w:hAnsi="Times New Roman" w:eastAsia="仿宋_GB2312" w:cs="Times New Roman"/>
          <w:sz w:val="32"/>
          <w:szCs w:val="32"/>
        </w:rPr>
        <w:t>%。决算数</w:t>
      </w:r>
      <w:r>
        <w:rPr>
          <w:rFonts w:hint="eastAsia" w:ascii="Times New Roman" w:hAnsi="Times New Roman" w:eastAsia="仿宋_GB2312" w:cs="Times New Roman"/>
          <w:sz w:val="32"/>
          <w:szCs w:val="32"/>
          <w:lang w:val="en-US" w:eastAsia="zh-CN"/>
        </w:rPr>
        <w:t>等于</w:t>
      </w:r>
      <w:r>
        <w:rPr>
          <w:rFonts w:ascii="Times New Roman" w:hAnsi="Times New Roman" w:eastAsia="仿宋_GB2312" w:cs="Times New Roman"/>
          <w:sz w:val="32"/>
          <w:szCs w:val="32"/>
        </w:rPr>
        <w:t>预算数的主要原因是</w:t>
      </w:r>
      <w:r>
        <w:rPr>
          <w:rFonts w:hint="eastAsia" w:ascii="Times New Roman" w:hAnsi="Times New Roman" w:eastAsia="仿宋_GB2312" w:cs="Times New Roman"/>
          <w:sz w:val="32"/>
          <w:szCs w:val="32"/>
          <w:lang w:val="en-US" w:eastAsia="zh-CN"/>
        </w:rPr>
        <w:t>我单位严格按预算执行决算</w:t>
      </w:r>
      <w:r>
        <w:rPr>
          <w:rFonts w:ascii="Times New Roman" w:hAnsi="Times New Roman" w:eastAsia="仿宋_GB2312" w:cs="Times New Roman"/>
          <w:sz w:val="32"/>
          <w:szCs w:val="32"/>
        </w:rPr>
        <w:t>。决算数小于上年数的主要原因是</w:t>
      </w:r>
      <w:r>
        <w:rPr>
          <w:rFonts w:hint="eastAsia" w:ascii="Times New Roman" w:hAnsi="Times New Roman" w:eastAsia="仿宋_GB2312"/>
          <w:sz w:val="32"/>
          <w:szCs w:val="32"/>
          <w:lang w:val="en-US" w:eastAsia="zh-CN"/>
        </w:rPr>
        <w:t>认真贯彻落实中央八项规定要求，例行节约，严格控制公务接待支出</w:t>
      </w:r>
      <w:r>
        <w:rPr>
          <w:rFonts w:ascii="Times New Roman" w:hAnsi="Times New Roman" w:eastAsia="仿宋_GB2312" w:cs="Times New Roman"/>
          <w:sz w:val="32"/>
          <w:szCs w:val="32"/>
        </w:rPr>
        <w:t>。2024年度共接待来访团组</w:t>
      </w:r>
      <w:r>
        <w:rPr>
          <w:rFonts w:hint="eastAsia" w:ascii="Times New Roman" w:hAnsi="Times New Roman" w:eastAsia="仿宋_GB2312" w:cs="Times New Roman"/>
          <w:sz w:val="32"/>
          <w:szCs w:val="32"/>
          <w:lang w:val="en-US" w:eastAsia="zh-CN"/>
        </w:rPr>
        <w:t>11</w:t>
      </w:r>
      <w:r>
        <w:rPr>
          <w:rFonts w:ascii="Times New Roman" w:hAnsi="Times New Roman" w:eastAsia="仿宋_GB2312" w:cs="Times New Roman"/>
          <w:sz w:val="32"/>
          <w:szCs w:val="32"/>
        </w:rPr>
        <w:t>个、来宾</w:t>
      </w:r>
      <w:r>
        <w:rPr>
          <w:rFonts w:hint="eastAsia" w:ascii="Times New Roman" w:hAnsi="Times New Roman" w:eastAsia="仿宋_GB2312" w:cs="Times New Roman"/>
          <w:sz w:val="32"/>
          <w:szCs w:val="32"/>
          <w:lang w:val="en-US" w:eastAsia="zh-CN"/>
        </w:rPr>
        <w:t>95</w:t>
      </w:r>
      <w:r>
        <w:rPr>
          <w:rFonts w:ascii="Times New Roman" w:hAnsi="Times New Roman" w:eastAsia="仿宋_GB2312" w:cs="Times New Roman"/>
          <w:sz w:val="32"/>
          <w:szCs w:val="32"/>
        </w:rPr>
        <w:t>人次，主要是</w:t>
      </w:r>
      <w:r>
        <w:rPr>
          <w:rFonts w:hint="eastAsia" w:ascii="Times New Roman" w:hAnsi="Times New Roman" w:eastAsia="仿宋_GB2312" w:cs="Times New Roman"/>
          <w:sz w:val="32"/>
          <w:szCs w:val="32"/>
          <w:lang w:val="en-US" w:eastAsia="zh-CN"/>
        </w:rPr>
        <w:t>荆州血站、郴州血站、自贡血站等交流学习以及年度血液安全技术检查等</w:t>
      </w:r>
      <w:r>
        <w:rPr>
          <w:rFonts w:ascii="Times New Roman" w:hAnsi="Times New Roman" w:eastAsia="仿宋_GB2312" w:cs="Times New Roman"/>
          <w:sz w:val="32"/>
          <w:szCs w:val="32"/>
        </w:rPr>
        <w:t>发生的接待支出。</w:t>
      </w:r>
    </w:p>
    <w:p w14:paraId="3D06ACE2">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color w:val="auto"/>
          <w:sz w:val="32"/>
          <w:szCs w:val="32"/>
        </w:rPr>
      </w:pPr>
      <w:r>
        <w:rPr>
          <w:rFonts w:hint="eastAsia" w:ascii="黑体" w:hAnsi="黑体" w:eastAsia="黑体" w:cs="黑体"/>
          <w:b w:val="0"/>
          <w:bCs/>
          <w:color w:val="auto"/>
          <w:sz w:val="32"/>
          <w:szCs w:val="32"/>
          <w:lang w:eastAsia="zh-CN"/>
        </w:rPr>
        <w:t>十</w:t>
      </w:r>
      <w:r>
        <w:rPr>
          <w:rFonts w:hint="eastAsia" w:ascii="黑体" w:hAnsi="黑体" w:eastAsia="黑体" w:cs="黑体"/>
          <w:b w:val="0"/>
          <w:bCs/>
          <w:color w:val="auto"/>
          <w:sz w:val="32"/>
          <w:szCs w:val="32"/>
        </w:rPr>
        <w:t>、关于机关运行经费支出说明</w:t>
      </w:r>
    </w:p>
    <w:p w14:paraId="38BA3ACD">
      <w:pPr>
        <w:pStyle w:val="14"/>
        <w:ind w:firstLine="640" w:firstLineChars="200"/>
        <w:rPr>
          <w:rFonts w:hint="eastAsia" w:ascii="仿宋" w:hAnsi="仿宋" w:eastAsia="仿宋" w:cs="仿宋"/>
          <w:color w:val="auto"/>
          <w:sz w:val="32"/>
          <w:szCs w:val="32"/>
        </w:rPr>
      </w:pPr>
      <w:r>
        <w:rPr>
          <w:rFonts w:hint="eastAsia" w:ascii="仿宋" w:hAnsi="仿宋" w:eastAsia="仿宋" w:cs="仿宋"/>
          <w:i w:val="0"/>
          <w:iCs/>
          <w:color w:val="auto"/>
          <w:sz w:val="32"/>
          <w:szCs w:val="32"/>
          <w:lang w:val="en-US" w:eastAsia="zh-CN"/>
        </w:rPr>
        <w:t>本级和所属单位均为事业单位，按照机关运行经费的口径，本年度机关运行经费为0。</w:t>
      </w:r>
    </w:p>
    <w:p w14:paraId="39684EF2">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十</w:t>
      </w:r>
      <w:r>
        <w:rPr>
          <w:rFonts w:hint="eastAsia" w:hAnsi="黑体" w:cs="黑体"/>
          <w:b w:val="0"/>
          <w:bCs/>
          <w:sz w:val="32"/>
          <w:szCs w:val="32"/>
          <w:lang w:eastAsia="zh-CN"/>
        </w:rPr>
        <w:t>一</w:t>
      </w:r>
      <w:r>
        <w:rPr>
          <w:rFonts w:hint="eastAsia" w:ascii="黑体" w:hAnsi="黑体" w:eastAsia="黑体" w:cs="黑体"/>
          <w:b w:val="0"/>
          <w:bCs/>
          <w:sz w:val="32"/>
          <w:szCs w:val="32"/>
        </w:rPr>
        <w:t>、一般性支出情况说明</w:t>
      </w:r>
    </w:p>
    <w:p w14:paraId="5E588319">
      <w:pPr>
        <w:pStyle w:val="14"/>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年度，会议费年初预算2.7万元，支出决算为0.13万元，完成年初预算的4.81%。用于召开全市冬春季备血工作调度会会议，</w:t>
      </w:r>
      <w:r>
        <w:rPr>
          <w:rFonts w:hint="eastAsia" w:ascii="仿宋_GB2312" w:hAnsi="仿宋_GB2312" w:eastAsia="仿宋_GB2312" w:cs="仿宋_GB2312"/>
          <w:sz w:val="32"/>
          <w:szCs w:val="32"/>
        </w:rPr>
        <w:t>人数</w:t>
      </w:r>
      <w:r>
        <w:rPr>
          <w:rFonts w:hint="eastAsia" w:ascii="仿宋_GB2312" w:hAnsi="仿宋_GB2312" w:eastAsia="仿宋_GB2312" w:cs="仿宋_GB2312"/>
          <w:sz w:val="32"/>
          <w:szCs w:val="32"/>
          <w:lang w:val="en-US" w:eastAsia="zh-CN"/>
        </w:rPr>
        <w:t>38</w:t>
      </w:r>
      <w:r>
        <w:rPr>
          <w:rFonts w:hint="eastAsia" w:ascii="仿宋_GB2312" w:hAnsi="仿宋_GB2312" w:eastAsia="仿宋_GB2312" w:cs="仿宋_GB2312"/>
          <w:sz w:val="32"/>
          <w:szCs w:val="32"/>
        </w:rPr>
        <w:t>人，内容为</w:t>
      </w:r>
      <w:r>
        <w:rPr>
          <w:rFonts w:hint="eastAsia" w:ascii="仿宋_GB2312" w:hAnsi="仿宋_GB2312" w:eastAsia="仿宋_GB2312" w:cs="仿宋_GB2312"/>
          <w:color w:val="000000"/>
          <w:kern w:val="0"/>
          <w:sz w:val="32"/>
          <w:szCs w:val="32"/>
          <w:lang w:val="en-US" w:eastAsia="zh-CN" w:bidi="ar-SA"/>
        </w:rPr>
        <w:t>2023年冬季和2024年春节期间备血协调会</w:t>
      </w:r>
      <w:r>
        <w:rPr>
          <w:rFonts w:hint="eastAsia" w:ascii="仿宋_GB2312" w:hAnsi="仿宋_GB2312" w:eastAsia="仿宋_GB2312" w:cs="仿宋_GB2312"/>
          <w:sz w:val="32"/>
          <w:szCs w:val="32"/>
          <w:lang w:eastAsia="zh-CN"/>
        </w:rPr>
        <w:t>。</w:t>
      </w:r>
    </w:p>
    <w:p w14:paraId="6BF19328">
      <w:pPr>
        <w:widowControl w:val="0"/>
        <w:autoSpaceDE w:val="0"/>
        <w:autoSpaceDN w:val="0"/>
        <w:adjustRightInd w:val="0"/>
        <w:ind w:firstLine="640" w:firstLineChars="200"/>
        <w:rPr>
          <w:rFonts w:hint="eastAsia" w:ascii="仿宋_GB2312" w:hAnsi="仿宋_GB2312" w:eastAsia="仿宋_GB2312" w:cs="仿宋_GB2312"/>
          <w:color w:val="000000"/>
          <w:kern w:val="0"/>
          <w:sz w:val="32"/>
          <w:szCs w:val="32"/>
          <w:lang w:val="en-US" w:eastAsia="zh-CN" w:bidi="ar-SA"/>
        </w:rPr>
      </w:pPr>
      <w:r>
        <w:rPr>
          <w:rFonts w:hint="eastAsia" w:ascii="仿宋_GB2312" w:hAnsi="仿宋_GB2312" w:eastAsia="仿宋_GB2312" w:cs="仿宋_GB2312"/>
          <w:color w:val="000000"/>
          <w:kern w:val="0"/>
          <w:sz w:val="32"/>
          <w:szCs w:val="32"/>
          <w:lang w:val="en-US" w:eastAsia="zh-CN" w:bidi="ar-SA"/>
        </w:rPr>
        <w:t>培训费年初预算5.77万元，支出决算为16.42万元，完成年初预算的284.57%。用于开展2023年和2024年临床合理用血和输血安全、特种设备操作等培训，人数623人，内容为临床合理用血和输血安全、特种设备操作、继续教育等培训。</w:t>
      </w:r>
    </w:p>
    <w:p w14:paraId="39C2EAB5">
      <w:pPr>
        <w:widowControl w:val="0"/>
        <w:autoSpaceDE w:val="0"/>
        <w:autoSpaceDN w:val="0"/>
        <w:adjustRightInd w:val="0"/>
        <w:ind w:firstLine="640" w:firstLineChars="200"/>
        <w:rPr>
          <w:rFonts w:hint="eastAsia" w:ascii="仿宋_GB2312" w:hAnsi="仿宋_GB2312" w:eastAsia="仿宋_GB2312" w:cs="仿宋_GB2312"/>
          <w:b/>
          <w:bCs/>
          <w:i/>
          <w:color w:val="FF0000"/>
          <w:kern w:val="0"/>
          <w:sz w:val="32"/>
          <w:szCs w:val="32"/>
          <w:highlight w:val="yellow"/>
          <w:lang w:val="en-US" w:eastAsia="zh-CN" w:bidi="ar-SA"/>
        </w:rPr>
      </w:pPr>
      <w:r>
        <w:rPr>
          <w:rFonts w:hint="eastAsia" w:ascii="仿宋" w:hAnsi="仿宋" w:eastAsia="仿宋" w:cs="仿宋"/>
          <w:b w:val="0"/>
          <w:bCs w:val="0"/>
          <w:i w:val="0"/>
          <w:iCs w:val="0"/>
          <w:color w:val="auto"/>
          <w:kern w:val="0"/>
          <w:sz w:val="32"/>
          <w:szCs w:val="32"/>
          <w:lang w:val="en-US" w:eastAsia="zh-CN" w:bidi="ar-SA"/>
        </w:rPr>
        <w:t>本单位无举办节庆、晚会、论坛、赛事等活动的预算和支出决算数</w:t>
      </w:r>
      <w:r>
        <w:rPr>
          <w:rFonts w:hint="eastAsia" w:ascii="仿宋_GB2312" w:hAnsi="仿宋_GB2312" w:eastAsia="仿宋_GB2312" w:cs="仿宋_GB2312"/>
          <w:color w:val="000000"/>
          <w:kern w:val="0"/>
          <w:sz w:val="32"/>
          <w:szCs w:val="32"/>
          <w:lang w:val="en-US" w:eastAsia="zh-CN" w:bidi="ar-SA"/>
        </w:rPr>
        <w:t>。</w:t>
      </w:r>
    </w:p>
    <w:p w14:paraId="252D0BEE">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十</w:t>
      </w:r>
      <w:r>
        <w:rPr>
          <w:rFonts w:hint="eastAsia" w:hAnsi="黑体" w:cs="黑体"/>
          <w:b w:val="0"/>
          <w:bCs/>
          <w:sz w:val="32"/>
          <w:szCs w:val="32"/>
          <w:lang w:eastAsia="zh-CN"/>
        </w:rPr>
        <w:t>二</w:t>
      </w:r>
      <w:r>
        <w:rPr>
          <w:rFonts w:hint="eastAsia" w:ascii="黑体" w:hAnsi="黑体" w:eastAsia="黑体" w:cs="黑体"/>
          <w:b w:val="0"/>
          <w:bCs/>
          <w:sz w:val="32"/>
          <w:szCs w:val="32"/>
        </w:rPr>
        <w:t>、关于政府采购支出说明</w:t>
      </w:r>
    </w:p>
    <w:p w14:paraId="73B490E8">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 w:hAnsi="仿宋" w:eastAsia="仿宋" w:cs="仿宋"/>
          <w:b w:val="0"/>
          <w:bCs w:val="0"/>
          <w:i w:val="0"/>
          <w:iCs/>
          <w:color w:val="auto"/>
          <w:kern w:val="0"/>
          <w:sz w:val="32"/>
          <w:szCs w:val="32"/>
          <w:lang w:val="en-US" w:eastAsia="zh-CN" w:bidi="ar-SA"/>
        </w:rPr>
      </w:pPr>
      <w:r>
        <w:rPr>
          <w:rFonts w:hint="eastAsia" w:ascii="仿宋" w:hAnsi="仿宋" w:eastAsia="仿宋" w:cs="仿宋"/>
          <w:b w:val="0"/>
          <w:bCs w:val="0"/>
          <w:i w:val="0"/>
          <w:iCs/>
          <w:color w:val="auto"/>
          <w:kern w:val="0"/>
          <w:sz w:val="32"/>
          <w:szCs w:val="32"/>
          <w:lang w:val="en-US" w:eastAsia="zh-CN" w:bidi="ar-SA"/>
        </w:rPr>
        <w:t>本部门2024年度政府采购支出总额3346.04万元，其中：政府采购货物支出2974.58万元、政府采购工程支出79.58万元、政府采购服务支出291.88万元。授予中小企业合同金额3205.66万元，占政府采购支出总额的95.80%，其中：授予小微企业合同金额2996.77万元，占授予中小企业合同金额的93.48%。货物采购授予中小企业合同金额占货物支出金额的95.28%，工程采购授予中小企业合同金额占工程支出金额的100%，服务采购授予中小企业合同金额占服务支出金额的100%。</w:t>
      </w:r>
    </w:p>
    <w:p w14:paraId="246A0DF6">
      <w:pPr>
        <w:pStyle w:val="14"/>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textAlignment w:val="auto"/>
        <w:rPr>
          <w:rFonts w:hint="eastAsia" w:ascii="黑体" w:hAnsi="黑体" w:eastAsia="黑体" w:cs="黑体"/>
          <w:b w:val="0"/>
          <w:bCs/>
          <w:color w:val="auto"/>
          <w:sz w:val="32"/>
          <w:szCs w:val="32"/>
        </w:rPr>
      </w:pPr>
      <w:r>
        <w:rPr>
          <w:rFonts w:hint="eastAsia" w:ascii="黑体" w:hAnsi="黑体" w:eastAsia="黑体" w:cs="黑体"/>
          <w:b w:val="0"/>
          <w:bCs/>
          <w:color w:val="auto"/>
          <w:sz w:val="32"/>
          <w:szCs w:val="32"/>
        </w:rPr>
        <w:t>十</w:t>
      </w:r>
      <w:r>
        <w:rPr>
          <w:rFonts w:hint="eastAsia" w:hAnsi="黑体" w:cs="黑体"/>
          <w:b w:val="0"/>
          <w:bCs/>
          <w:color w:val="auto"/>
          <w:sz w:val="32"/>
          <w:szCs w:val="32"/>
          <w:lang w:eastAsia="zh-CN"/>
        </w:rPr>
        <w:t>三</w:t>
      </w:r>
      <w:r>
        <w:rPr>
          <w:rFonts w:hint="eastAsia" w:ascii="黑体" w:hAnsi="黑体" w:eastAsia="黑体" w:cs="黑体"/>
          <w:b w:val="0"/>
          <w:bCs/>
          <w:color w:val="auto"/>
          <w:sz w:val="32"/>
          <w:szCs w:val="32"/>
        </w:rPr>
        <w:t>、关于国有资产占用情况说明</w:t>
      </w:r>
    </w:p>
    <w:p w14:paraId="37C9D953">
      <w:pPr>
        <w:pStyle w:val="14"/>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截至202</w:t>
      </w:r>
      <w:r>
        <w:rPr>
          <w:rFonts w:hint="eastAsia" w:ascii="仿宋_GB2312" w:hAnsi="仿宋_GB2312" w:eastAsia="仿宋_GB2312" w:cs="仿宋_GB2312"/>
          <w:color w:val="auto"/>
          <w:sz w:val="32"/>
          <w:szCs w:val="32"/>
          <w:lang w:val="en-US" w:eastAsia="zh-CN"/>
        </w:rPr>
        <w:t>4</w:t>
      </w:r>
      <w:r>
        <w:rPr>
          <w:rFonts w:hint="eastAsia" w:ascii="仿宋_GB2312" w:hAnsi="仿宋_GB2312" w:eastAsia="仿宋_GB2312" w:cs="仿宋_GB2312"/>
          <w:color w:val="auto"/>
          <w:sz w:val="32"/>
          <w:szCs w:val="32"/>
        </w:rPr>
        <w:t>年12月31日，</w:t>
      </w:r>
      <w:r>
        <w:rPr>
          <w:rFonts w:hint="eastAsia" w:ascii="仿宋_GB2312" w:hAnsi="仿宋_GB2312" w:eastAsia="仿宋_GB2312" w:cs="仿宋_GB2312"/>
          <w:color w:val="auto"/>
          <w:sz w:val="32"/>
          <w:szCs w:val="32"/>
          <w:lang w:val="en-US" w:eastAsia="zh-CN"/>
        </w:rPr>
        <w:t>本</w:t>
      </w:r>
      <w:r>
        <w:rPr>
          <w:rFonts w:hint="eastAsia" w:ascii="仿宋_GB2312" w:hAnsi="仿宋_GB2312" w:eastAsia="仿宋_GB2312" w:cs="仿宋_GB2312"/>
          <w:color w:val="auto"/>
          <w:sz w:val="32"/>
          <w:szCs w:val="32"/>
          <w:lang w:eastAsia="zh-CN"/>
        </w:rPr>
        <w:t>单位</w:t>
      </w:r>
      <w:r>
        <w:rPr>
          <w:rFonts w:hint="eastAsia" w:ascii="仿宋_GB2312" w:hAnsi="仿宋_GB2312" w:eastAsia="仿宋_GB2312" w:cs="仿宋_GB2312"/>
          <w:color w:val="auto"/>
          <w:sz w:val="32"/>
          <w:szCs w:val="32"/>
        </w:rPr>
        <w:t>共有车辆</w:t>
      </w:r>
      <w:r>
        <w:rPr>
          <w:rFonts w:hint="eastAsia" w:ascii="仿宋_GB2312" w:hAnsi="仿宋_GB2312" w:eastAsia="仿宋_GB2312" w:cs="仿宋_GB2312"/>
          <w:color w:val="auto"/>
          <w:sz w:val="32"/>
          <w:szCs w:val="32"/>
          <w:lang w:val="en-US" w:eastAsia="zh-CN"/>
        </w:rPr>
        <w:t>12</w:t>
      </w:r>
      <w:r>
        <w:rPr>
          <w:rFonts w:hint="eastAsia" w:ascii="仿宋_GB2312" w:hAnsi="仿宋_GB2312" w:eastAsia="仿宋_GB2312" w:cs="仿宋_GB2312"/>
          <w:color w:val="auto"/>
          <w:sz w:val="32"/>
          <w:szCs w:val="32"/>
        </w:rPr>
        <w:t>辆，其中</w:t>
      </w:r>
      <w:r>
        <w:rPr>
          <w:rFonts w:hint="eastAsia" w:ascii="仿宋_GB2312" w:hAnsi="仿宋_GB2312" w:eastAsia="仿宋_GB2312" w:cs="仿宋_GB2312"/>
          <w:color w:val="auto"/>
          <w:sz w:val="32"/>
          <w:szCs w:val="32"/>
          <w:lang w:eastAsia="zh-CN"/>
        </w:rPr>
        <w:t>，副部（省）级及以上领导用车</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rPr>
        <w:t>辆</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主要</w:t>
      </w:r>
      <w:r>
        <w:rPr>
          <w:rFonts w:hint="eastAsia" w:ascii="仿宋_GB2312" w:hAnsi="仿宋_GB2312" w:eastAsia="仿宋_GB2312" w:cs="仿宋_GB2312"/>
          <w:color w:val="auto"/>
          <w:sz w:val="32"/>
          <w:szCs w:val="32"/>
          <w:lang w:eastAsia="zh-CN"/>
        </w:rPr>
        <w:t>负责人</w:t>
      </w:r>
      <w:r>
        <w:rPr>
          <w:rFonts w:hint="eastAsia" w:ascii="仿宋_GB2312" w:hAnsi="仿宋_GB2312" w:eastAsia="仿宋_GB2312" w:cs="仿宋_GB2312"/>
          <w:color w:val="auto"/>
          <w:sz w:val="32"/>
          <w:szCs w:val="32"/>
        </w:rPr>
        <w:t>用车</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rPr>
        <w:t>辆</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机要通信用车</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rPr>
        <w:t>辆、应急保障用车</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rPr>
        <w:t>辆、执法执勤用车</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rPr>
        <w:t>辆、特种专业技术用车</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rPr>
        <w:t>辆、</w:t>
      </w:r>
      <w:r>
        <w:rPr>
          <w:rFonts w:hint="eastAsia" w:ascii="仿宋_GB2312" w:hAnsi="仿宋_GB2312" w:eastAsia="仿宋_GB2312" w:cs="仿宋_GB2312"/>
          <w:color w:val="auto"/>
          <w:sz w:val="32"/>
          <w:szCs w:val="32"/>
          <w:lang w:eastAsia="zh-CN"/>
        </w:rPr>
        <w:t>离退休干部服务用车</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rPr>
        <w:t>辆、其他用车</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采血车和送血车</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12</w:t>
      </w:r>
      <w:r>
        <w:rPr>
          <w:rFonts w:hint="eastAsia" w:ascii="仿宋_GB2312" w:hAnsi="仿宋_GB2312" w:eastAsia="仿宋_GB2312" w:cs="仿宋_GB2312"/>
          <w:color w:val="auto"/>
          <w:sz w:val="32"/>
          <w:szCs w:val="32"/>
        </w:rPr>
        <w:t>辆，其他用车主要是</w:t>
      </w:r>
      <w:r>
        <w:rPr>
          <w:rFonts w:hint="eastAsia" w:ascii="仿宋_GB2312" w:hAnsi="仿宋_GB2312" w:eastAsia="仿宋_GB2312" w:cs="仿宋_GB2312"/>
          <w:color w:val="auto"/>
          <w:sz w:val="32"/>
          <w:szCs w:val="32"/>
          <w:lang w:val="en-US" w:eastAsia="zh-CN"/>
        </w:rPr>
        <w:t>采供血用车</w:t>
      </w:r>
      <w:r>
        <w:rPr>
          <w:rFonts w:hint="eastAsia" w:ascii="仿宋_GB2312" w:hAnsi="仿宋_GB2312" w:eastAsia="仿宋_GB2312" w:cs="仿宋_GB2312"/>
          <w:color w:val="auto"/>
          <w:sz w:val="32"/>
          <w:szCs w:val="32"/>
        </w:rPr>
        <w:t>；单位价值100万元以上设备</w:t>
      </w:r>
      <w:r>
        <w:rPr>
          <w:rFonts w:hint="eastAsia" w:ascii="仿宋_GB2312" w:hAnsi="仿宋_GB2312" w:eastAsia="仿宋_GB2312" w:cs="仿宋_GB2312"/>
          <w:color w:val="auto"/>
          <w:sz w:val="32"/>
          <w:szCs w:val="32"/>
          <w:lang w:eastAsia="zh-CN"/>
        </w:rPr>
        <w:t>（不含车辆）</w:t>
      </w:r>
      <w:r>
        <w:rPr>
          <w:rFonts w:hint="eastAsia" w:ascii="仿宋_GB2312" w:hAnsi="仿宋_GB2312" w:eastAsia="仿宋_GB2312" w:cs="仿宋_GB2312"/>
          <w:color w:val="auto"/>
          <w:sz w:val="32"/>
          <w:szCs w:val="32"/>
          <w:lang w:val="en-US" w:eastAsia="zh-CN"/>
        </w:rPr>
        <w:t>8</w:t>
      </w:r>
      <w:r>
        <w:rPr>
          <w:rFonts w:hint="eastAsia" w:ascii="仿宋_GB2312" w:hAnsi="仿宋_GB2312" w:eastAsia="仿宋_GB2312" w:cs="仿宋_GB2312"/>
          <w:color w:val="auto"/>
          <w:sz w:val="32"/>
          <w:szCs w:val="32"/>
        </w:rPr>
        <w:t>台。</w:t>
      </w:r>
    </w:p>
    <w:p w14:paraId="0A8224AC">
      <w:pPr>
        <w:pStyle w:val="14"/>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textAlignment w:val="auto"/>
        <w:rPr>
          <w:rFonts w:hint="eastAsia" w:ascii="黑体" w:hAnsi="黑体" w:eastAsia="黑体" w:cs="黑体"/>
          <w:b w:val="0"/>
          <w:bCs/>
          <w:color w:val="auto"/>
          <w:sz w:val="32"/>
          <w:szCs w:val="32"/>
          <w:highlight w:val="none"/>
        </w:rPr>
      </w:pPr>
      <w:r>
        <w:rPr>
          <w:rFonts w:hint="eastAsia" w:ascii="黑体" w:hAnsi="黑体" w:eastAsia="黑体" w:cs="黑体"/>
          <w:b w:val="0"/>
          <w:bCs/>
          <w:color w:val="auto"/>
          <w:sz w:val="32"/>
          <w:szCs w:val="32"/>
          <w:highlight w:val="none"/>
        </w:rPr>
        <w:t>十</w:t>
      </w:r>
      <w:r>
        <w:rPr>
          <w:rFonts w:hint="eastAsia" w:hAnsi="黑体" w:cs="黑体"/>
          <w:b w:val="0"/>
          <w:bCs/>
          <w:color w:val="auto"/>
          <w:sz w:val="32"/>
          <w:szCs w:val="32"/>
          <w:highlight w:val="none"/>
          <w:lang w:eastAsia="zh-CN"/>
        </w:rPr>
        <w:t>四</w:t>
      </w:r>
      <w:r>
        <w:rPr>
          <w:rFonts w:hint="eastAsia" w:ascii="黑体" w:hAnsi="黑体" w:eastAsia="黑体" w:cs="黑体"/>
          <w:b w:val="0"/>
          <w:bCs/>
          <w:color w:val="auto"/>
          <w:sz w:val="32"/>
          <w:szCs w:val="32"/>
          <w:highlight w:val="none"/>
        </w:rPr>
        <w:t>、关于</w:t>
      </w:r>
      <w:r>
        <w:rPr>
          <w:rFonts w:hint="eastAsia" w:ascii="Times New Roman" w:hAnsi="Times New Roman" w:eastAsia="仿宋_GB2312"/>
          <w:color w:val="auto"/>
          <w:sz w:val="32"/>
          <w:szCs w:val="32"/>
          <w:highlight w:val="none"/>
        </w:rPr>
        <w:t>202</w:t>
      </w:r>
      <w:r>
        <w:rPr>
          <w:rFonts w:hint="eastAsia" w:ascii="Times New Roman" w:hAnsi="Times New Roman" w:eastAsia="仿宋_GB2312"/>
          <w:color w:val="auto"/>
          <w:sz w:val="32"/>
          <w:szCs w:val="32"/>
          <w:highlight w:val="none"/>
          <w:lang w:val="en-US" w:eastAsia="zh-CN"/>
        </w:rPr>
        <w:t>4</w:t>
      </w:r>
      <w:r>
        <w:rPr>
          <w:rFonts w:hint="eastAsia" w:ascii="黑体" w:hAnsi="黑体" w:eastAsia="黑体" w:cs="黑体"/>
          <w:b w:val="0"/>
          <w:bCs/>
          <w:color w:val="auto"/>
          <w:sz w:val="32"/>
          <w:szCs w:val="32"/>
          <w:highlight w:val="none"/>
        </w:rPr>
        <w:t>年度</w:t>
      </w:r>
      <w:r>
        <w:rPr>
          <w:rFonts w:hint="eastAsia" w:hAnsi="黑体" w:cs="黑体"/>
          <w:b w:val="0"/>
          <w:bCs/>
          <w:color w:val="auto"/>
          <w:sz w:val="32"/>
          <w:szCs w:val="32"/>
          <w:highlight w:val="none"/>
          <w:lang w:eastAsia="zh-CN"/>
        </w:rPr>
        <w:t>预算</w:t>
      </w:r>
      <w:r>
        <w:rPr>
          <w:rFonts w:hint="eastAsia" w:ascii="黑体" w:hAnsi="黑体" w:eastAsia="黑体" w:cs="黑体"/>
          <w:b w:val="0"/>
          <w:bCs/>
          <w:color w:val="auto"/>
          <w:sz w:val="32"/>
          <w:szCs w:val="32"/>
          <w:highlight w:val="none"/>
        </w:rPr>
        <w:t>绩效</w:t>
      </w:r>
      <w:r>
        <w:rPr>
          <w:rFonts w:hint="eastAsia" w:hAnsi="黑体" w:cs="黑体"/>
          <w:b w:val="0"/>
          <w:bCs/>
          <w:color w:val="auto"/>
          <w:sz w:val="32"/>
          <w:szCs w:val="32"/>
          <w:highlight w:val="none"/>
          <w:lang w:eastAsia="zh-CN"/>
        </w:rPr>
        <w:t>管理</w:t>
      </w:r>
      <w:r>
        <w:rPr>
          <w:rFonts w:hint="eastAsia" w:ascii="黑体" w:hAnsi="黑体" w:eastAsia="黑体" w:cs="黑体"/>
          <w:b w:val="0"/>
          <w:bCs/>
          <w:color w:val="auto"/>
          <w:sz w:val="32"/>
          <w:szCs w:val="32"/>
          <w:highlight w:val="none"/>
        </w:rPr>
        <w:t>情况的说明</w:t>
      </w:r>
    </w:p>
    <w:p w14:paraId="0EB60D67">
      <w:pPr>
        <w:overflowPunct w:val="0"/>
        <w:spacing w:line="600" w:lineRule="exact"/>
        <w:ind w:firstLine="640" w:firstLineChars="200"/>
        <w:rPr>
          <w:rFonts w:ascii="Times New Roman" w:hAnsi="Times New Roman" w:eastAsia="楷体_GB2312" w:cs="Times New Roman"/>
          <w:b/>
          <w:bCs/>
          <w:sz w:val="32"/>
          <w:szCs w:val="32"/>
        </w:rPr>
      </w:pPr>
      <w:r>
        <w:rPr>
          <w:rFonts w:ascii="Times New Roman" w:hAnsi="Times New Roman" w:eastAsia="楷体_GB2312" w:cs="Times New Roman"/>
          <w:b/>
          <w:bCs/>
          <w:sz w:val="32"/>
          <w:szCs w:val="32"/>
        </w:rPr>
        <w:t>（一）绩效评价工作开展情况</w:t>
      </w:r>
    </w:p>
    <w:p w14:paraId="341DD4AA">
      <w:pPr>
        <w:keepNext w:val="0"/>
        <w:keepLines w:val="0"/>
        <w:pageBreakBefore w:val="0"/>
        <w:widowControl w:val="0"/>
        <w:kinsoku/>
        <w:wordWrap/>
        <w:overflowPunct/>
        <w:topLinePunct w:val="0"/>
        <w:autoSpaceDE/>
        <w:autoSpaceDN/>
        <w:bidi w:val="0"/>
        <w:spacing w:line="600" w:lineRule="exact"/>
        <w:ind w:firstLine="640" w:firstLineChars="200"/>
        <w:textAlignment w:val="auto"/>
        <w:rPr>
          <w:rFonts w:ascii="Times New Roman" w:hAnsi="Times New Roman" w:eastAsia="仿宋_GB2312" w:cs="Times New Roman"/>
          <w:kern w:val="0"/>
          <w:sz w:val="32"/>
          <w:szCs w:val="32"/>
          <w:highlight w:val="none"/>
        </w:rPr>
      </w:pPr>
      <w:r>
        <w:rPr>
          <w:rFonts w:hint="eastAsia" w:ascii="Times New Roman" w:hAnsi="Times New Roman" w:eastAsia="仿宋_GB2312" w:cs="Times New Roman"/>
          <w:kern w:val="0"/>
          <w:sz w:val="32"/>
          <w:szCs w:val="32"/>
          <w:highlight w:val="none"/>
          <w:lang w:val="en-US" w:eastAsia="zh-CN"/>
        </w:rPr>
        <w:t>1.</w:t>
      </w:r>
      <w:r>
        <w:rPr>
          <w:rFonts w:hint="eastAsia" w:ascii="Times New Roman" w:hAnsi="Times New Roman" w:eastAsia="仿宋_GB2312" w:cs="Times New Roman"/>
          <w:b/>
          <w:bCs/>
          <w:kern w:val="0"/>
          <w:sz w:val="32"/>
          <w:szCs w:val="32"/>
          <w:lang w:val="en-US" w:eastAsia="zh-CN"/>
        </w:rPr>
        <w:t>绩</w:t>
      </w:r>
      <w:r>
        <w:rPr>
          <w:rFonts w:ascii="Times New Roman" w:hAnsi="Times New Roman" w:eastAsia="仿宋_GB2312" w:cs="Times New Roman"/>
          <w:b/>
          <w:bCs/>
          <w:kern w:val="0"/>
          <w:sz w:val="32"/>
          <w:szCs w:val="32"/>
        </w:rPr>
        <w:t>效自评开展情况。</w:t>
      </w:r>
      <w:r>
        <w:rPr>
          <w:rFonts w:hint="eastAsia" w:ascii="仿宋_GB2312" w:hAnsi="仿宋_GB2312" w:eastAsia="仿宋_GB2312" w:cs="仿宋_GB2312"/>
          <w:b w:val="0"/>
          <w:bCs w:val="0"/>
          <w:color w:val="000000"/>
          <w:kern w:val="0"/>
          <w:sz w:val="32"/>
          <w:szCs w:val="32"/>
          <w:lang w:val="en-US" w:eastAsia="zh-CN" w:bidi="ar-SA"/>
        </w:rPr>
        <w:t>根据预算绩效管理要求，我单位</w:t>
      </w:r>
      <w:r>
        <w:rPr>
          <w:rFonts w:ascii="Times New Roman" w:hAnsi="Times New Roman" w:eastAsia="仿宋_GB2312" w:cs="Times New Roman"/>
          <w:kern w:val="0"/>
          <w:sz w:val="32"/>
          <w:szCs w:val="32"/>
        </w:rPr>
        <w:t>组织对2024年度本单位整体支出开展绩效自评，涉及项目</w:t>
      </w:r>
      <w:r>
        <w:rPr>
          <w:rFonts w:hint="eastAsia" w:ascii="Times New Roman" w:hAnsi="Times New Roman" w:eastAsia="仿宋_GB2312" w:cs="Times New Roman"/>
          <w:kern w:val="0"/>
          <w:sz w:val="32"/>
          <w:szCs w:val="32"/>
          <w:lang w:val="en-US" w:eastAsia="zh-CN"/>
        </w:rPr>
        <w:t>1</w:t>
      </w:r>
      <w:r>
        <w:rPr>
          <w:rFonts w:ascii="Times New Roman" w:hAnsi="Times New Roman" w:eastAsia="仿宋_GB2312" w:cs="Times New Roman"/>
          <w:kern w:val="0"/>
          <w:sz w:val="32"/>
          <w:szCs w:val="32"/>
        </w:rPr>
        <w:t>个，共涉及资金</w:t>
      </w:r>
      <w:r>
        <w:rPr>
          <w:rFonts w:hint="eastAsia" w:ascii="Times New Roman" w:hAnsi="Times New Roman" w:eastAsia="仿宋_GB2312" w:cs="Times New Roman"/>
          <w:kern w:val="0"/>
          <w:sz w:val="32"/>
          <w:szCs w:val="32"/>
          <w:lang w:val="en-US" w:eastAsia="zh-CN"/>
        </w:rPr>
        <w:t>265.84</w:t>
      </w:r>
      <w:r>
        <w:rPr>
          <w:rFonts w:ascii="Times New Roman" w:hAnsi="Times New Roman" w:eastAsia="仿宋_GB2312" w:cs="Times New Roman"/>
          <w:kern w:val="0"/>
          <w:sz w:val="32"/>
          <w:szCs w:val="32"/>
        </w:rPr>
        <w:t>万元。其中，一般公共预算项目</w:t>
      </w:r>
      <w:r>
        <w:rPr>
          <w:rFonts w:hint="eastAsia" w:ascii="Times New Roman" w:hAnsi="Times New Roman" w:eastAsia="仿宋_GB2312" w:cs="Times New Roman"/>
          <w:kern w:val="0"/>
          <w:sz w:val="32"/>
          <w:szCs w:val="32"/>
          <w:lang w:val="en-US" w:eastAsia="zh-CN"/>
        </w:rPr>
        <w:t>1</w:t>
      </w:r>
      <w:r>
        <w:rPr>
          <w:rFonts w:ascii="Times New Roman" w:hAnsi="Times New Roman" w:eastAsia="仿宋_GB2312" w:cs="Times New Roman"/>
          <w:kern w:val="0"/>
          <w:sz w:val="32"/>
          <w:szCs w:val="32"/>
        </w:rPr>
        <w:t>个</w:t>
      </w:r>
      <w:r>
        <w:rPr>
          <w:rFonts w:hint="eastAsia" w:ascii="Times New Roman" w:hAnsi="Times New Roman" w:eastAsia="仿宋_GB2312" w:cs="Times New Roman"/>
          <w:kern w:val="0"/>
          <w:sz w:val="32"/>
          <w:szCs w:val="32"/>
          <w:lang w:val="en-US" w:eastAsia="zh-CN"/>
        </w:rPr>
        <w:t>265.84</w:t>
      </w:r>
      <w:r>
        <w:rPr>
          <w:rFonts w:ascii="Times New Roman" w:hAnsi="Times New Roman" w:eastAsia="仿宋_GB2312" w:cs="Times New Roman"/>
          <w:kern w:val="0"/>
          <w:sz w:val="32"/>
          <w:szCs w:val="32"/>
        </w:rPr>
        <w:t>万元，占一般公共预算支出总额的</w:t>
      </w:r>
      <w:r>
        <w:rPr>
          <w:rFonts w:hint="eastAsia" w:ascii="Times New Roman" w:hAnsi="Times New Roman" w:eastAsia="仿宋_GB2312" w:cs="Times New Roman"/>
          <w:kern w:val="0"/>
          <w:sz w:val="32"/>
          <w:szCs w:val="32"/>
          <w:lang w:val="en-US" w:eastAsia="zh-CN"/>
        </w:rPr>
        <w:t>100</w:t>
      </w:r>
      <w:r>
        <w:rPr>
          <w:rFonts w:ascii="Times New Roman" w:hAnsi="Times New Roman" w:eastAsia="仿宋_GB2312" w:cs="Times New Roman"/>
          <w:kern w:val="0"/>
          <w:sz w:val="32"/>
          <w:szCs w:val="32"/>
        </w:rPr>
        <w:t>%；政府性基金预算项目</w:t>
      </w:r>
      <w:r>
        <w:rPr>
          <w:rFonts w:hint="eastAsia" w:ascii="Times New Roman" w:hAnsi="Times New Roman" w:eastAsia="仿宋_GB2312" w:cs="Times New Roman"/>
          <w:kern w:val="0"/>
          <w:sz w:val="32"/>
          <w:szCs w:val="32"/>
          <w:lang w:val="en-US" w:eastAsia="zh-CN"/>
        </w:rPr>
        <w:t>0</w:t>
      </w:r>
      <w:r>
        <w:rPr>
          <w:rFonts w:ascii="Times New Roman" w:hAnsi="Times New Roman" w:eastAsia="仿宋_GB2312" w:cs="Times New Roman"/>
          <w:kern w:val="0"/>
          <w:sz w:val="32"/>
          <w:szCs w:val="32"/>
        </w:rPr>
        <w:t xml:space="preserve"> 个</w:t>
      </w:r>
      <w:r>
        <w:rPr>
          <w:rFonts w:hint="eastAsia" w:ascii="Times New Roman" w:hAnsi="Times New Roman" w:eastAsia="仿宋_GB2312" w:cs="Times New Roman"/>
          <w:kern w:val="0"/>
          <w:sz w:val="32"/>
          <w:szCs w:val="32"/>
          <w:lang w:val="en-US" w:eastAsia="zh-CN"/>
        </w:rPr>
        <w:t>0</w:t>
      </w:r>
      <w:r>
        <w:rPr>
          <w:rFonts w:ascii="Times New Roman" w:hAnsi="Times New Roman" w:eastAsia="仿宋_GB2312" w:cs="Times New Roman"/>
          <w:kern w:val="0"/>
          <w:sz w:val="32"/>
          <w:szCs w:val="32"/>
        </w:rPr>
        <w:t>万元，占政府性基金预算支出总额的</w:t>
      </w:r>
      <w:r>
        <w:rPr>
          <w:rFonts w:hint="eastAsia" w:ascii="Times New Roman" w:hAnsi="Times New Roman" w:eastAsia="仿宋_GB2312" w:cs="Times New Roman"/>
          <w:kern w:val="0"/>
          <w:sz w:val="32"/>
          <w:szCs w:val="32"/>
          <w:lang w:val="en-US" w:eastAsia="zh-CN"/>
        </w:rPr>
        <w:t>0</w:t>
      </w:r>
      <w:r>
        <w:rPr>
          <w:rFonts w:ascii="Times New Roman" w:hAnsi="Times New Roman" w:eastAsia="仿宋_GB2312" w:cs="Times New Roman"/>
          <w:kern w:val="0"/>
          <w:sz w:val="32"/>
          <w:szCs w:val="32"/>
        </w:rPr>
        <w:t>%；国有资本经营预算项目</w:t>
      </w:r>
      <w:r>
        <w:rPr>
          <w:rFonts w:hint="eastAsia" w:ascii="Times New Roman" w:hAnsi="Times New Roman" w:eastAsia="仿宋_GB2312" w:cs="Times New Roman"/>
          <w:kern w:val="0"/>
          <w:sz w:val="32"/>
          <w:szCs w:val="32"/>
          <w:lang w:val="en-US" w:eastAsia="zh-CN"/>
        </w:rPr>
        <w:t>0</w:t>
      </w:r>
      <w:r>
        <w:rPr>
          <w:rFonts w:ascii="Times New Roman" w:hAnsi="Times New Roman" w:eastAsia="仿宋_GB2312" w:cs="Times New Roman"/>
          <w:kern w:val="0"/>
          <w:sz w:val="32"/>
          <w:szCs w:val="32"/>
        </w:rPr>
        <w:t>个</w:t>
      </w:r>
      <w:r>
        <w:rPr>
          <w:rFonts w:hint="eastAsia" w:ascii="Times New Roman" w:hAnsi="Times New Roman" w:eastAsia="仿宋_GB2312" w:cs="Times New Roman"/>
          <w:kern w:val="0"/>
          <w:sz w:val="32"/>
          <w:szCs w:val="32"/>
          <w:lang w:val="en-US" w:eastAsia="zh-CN"/>
        </w:rPr>
        <w:t>0</w:t>
      </w:r>
      <w:r>
        <w:rPr>
          <w:rFonts w:ascii="Times New Roman" w:hAnsi="Times New Roman" w:eastAsia="仿宋_GB2312" w:cs="Times New Roman"/>
          <w:kern w:val="0"/>
          <w:sz w:val="32"/>
          <w:szCs w:val="32"/>
        </w:rPr>
        <w:t>万元，占国有资本经营预算支出总额的</w:t>
      </w:r>
      <w:r>
        <w:rPr>
          <w:rFonts w:hint="eastAsia" w:ascii="Times New Roman" w:hAnsi="Times New Roman" w:eastAsia="仿宋_GB2312" w:cs="Times New Roman"/>
          <w:kern w:val="0"/>
          <w:sz w:val="32"/>
          <w:szCs w:val="32"/>
          <w:lang w:val="en-US" w:eastAsia="zh-CN"/>
        </w:rPr>
        <w:t>0</w:t>
      </w:r>
      <w:r>
        <w:rPr>
          <w:rFonts w:ascii="Times New Roman" w:hAnsi="Times New Roman" w:eastAsia="仿宋_GB2312" w:cs="Times New Roman"/>
          <w:kern w:val="0"/>
          <w:sz w:val="32"/>
          <w:szCs w:val="32"/>
        </w:rPr>
        <w:t>%；</w:t>
      </w:r>
      <w:r>
        <w:rPr>
          <w:rFonts w:ascii="Times New Roman" w:hAnsi="Times New Roman" w:eastAsia="仿宋_GB2312" w:cs="Times New Roman"/>
          <w:kern w:val="0"/>
          <w:sz w:val="32"/>
          <w:szCs w:val="32"/>
          <w:highlight w:val="none"/>
        </w:rPr>
        <w:t>社会保险基金预算项目</w:t>
      </w:r>
      <w:r>
        <w:rPr>
          <w:rFonts w:hint="eastAsia" w:ascii="Times New Roman" w:hAnsi="Times New Roman" w:eastAsia="仿宋_GB2312" w:cs="Times New Roman"/>
          <w:kern w:val="0"/>
          <w:sz w:val="32"/>
          <w:szCs w:val="32"/>
          <w:highlight w:val="none"/>
          <w:lang w:val="en-US" w:eastAsia="zh-CN"/>
        </w:rPr>
        <w:t>0</w:t>
      </w:r>
      <w:r>
        <w:rPr>
          <w:rFonts w:ascii="Times New Roman" w:hAnsi="Times New Roman" w:eastAsia="仿宋_GB2312" w:cs="Times New Roman"/>
          <w:kern w:val="0"/>
          <w:sz w:val="32"/>
          <w:szCs w:val="32"/>
          <w:highlight w:val="none"/>
        </w:rPr>
        <w:t>个</w:t>
      </w:r>
      <w:r>
        <w:rPr>
          <w:rFonts w:hint="eastAsia" w:ascii="Times New Roman" w:hAnsi="Times New Roman" w:eastAsia="仿宋_GB2312" w:cs="Times New Roman"/>
          <w:kern w:val="0"/>
          <w:sz w:val="32"/>
          <w:szCs w:val="32"/>
          <w:highlight w:val="none"/>
          <w:lang w:val="en-US" w:eastAsia="zh-CN"/>
        </w:rPr>
        <w:t>0</w:t>
      </w:r>
      <w:r>
        <w:rPr>
          <w:rFonts w:ascii="Times New Roman" w:hAnsi="Times New Roman" w:eastAsia="仿宋_GB2312" w:cs="Times New Roman"/>
          <w:kern w:val="0"/>
          <w:sz w:val="32"/>
          <w:szCs w:val="32"/>
          <w:highlight w:val="none"/>
        </w:rPr>
        <w:t>万元，占社会保险基金预算支出总额的</w:t>
      </w:r>
      <w:r>
        <w:rPr>
          <w:rFonts w:hint="eastAsia" w:ascii="Times New Roman" w:hAnsi="Times New Roman" w:eastAsia="仿宋_GB2312" w:cs="Times New Roman"/>
          <w:kern w:val="0"/>
          <w:sz w:val="32"/>
          <w:szCs w:val="32"/>
          <w:highlight w:val="none"/>
          <w:lang w:val="en-US" w:eastAsia="zh-CN"/>
        </w:rPr>
        <w:t>0</w:t>
      </w:r>
      <w:r>
        <w:rPr>
          <w:rFonts w:ascii="Times New Roman" w:hAnsi="Times New Roman" w:eastAsia="仿宋_GB2312" w:cs="Times New Roman"/>
          <w:kern w:val="0"/>
          <w:sz w:val="32"/>
          <w:szCs w:val="32"/>
          <w:highlight w:val="none"/>
        </w:rPr>
        <w:t>%。</w:t>
      </w:r>
    </w:p>
    <w:p w14:paraId="34E3318F">
      <w:pPr>
        <w:keepNext w:val="0"/>
        <w:keepLines w:val="0"/>
        <w:pageBreakBefore w:val="0"/>
        <w:widowControl w:val="0"/>
        <w:kinsoku/>
        <w:wordWrap/>
        <w:overflowPunct/>
        <w:topLinePunct w:val="0"/>
        <w:autoSpaceDE/>
        <w:autoSpaceDN/>
        <w:bidi w:val="0"/>
        <w:spacing w:line="600" w:lineRule="exact"/>
        <w:ind w:firstLine="640" w:firstLineChars="200"/>
        <w:textAlignment w:val="auto"/>
        <w:rPr>
          <w:rFonts w:ascii="Times New Roman" w:hAnsi="Times New Roman" w:eastAsia="仿宋_GB2312" w:cs="Times New Roman"/>
          <w:kern w:val="0"/>
          <w:sz w:val="32"/>
          <w:szCs w:val="32"/>
          <w:highlight w:val="none"/>
        </w:rPr>
      </w:pPr>
      <w:r>
        <w:rPr>
          <w:rFonts w:hint="eastAsia" w:ascii="仿宋_GB2312" w:hAnsi="仿宋_GB2312" w:eastAsia="仿宋_GB2312" w:cs="仿宋_GB2312"/>
          <w:color w:val="auto"/>
          <w:sz w:val="32"/>
          <w:szCs w:val="32"/>
        </w:rPr>
        <w:t>2024年，</w:t>
      </w:r>
      <w:r>
        <w:rPr>
          <w:rFonts w:hint="eastAsia" w:ascii="仿宋_GB2312" w:hAnsi="仿宋_GB2312" w:eastAsia="仿宋_GB2312" w:cs="仿宋_GB2312"/>
          <w:color w:val="auto"/>
          <w:sz w:val="32"/>
          <w:szCs w:val="32"/>
          <w:lang w:val="en-US" w:eastAsia="zh-CN"/>
        </w:rPr>
        <w:t>岳阳市中心血站</w:t>
      </w:r>
      <w:r>
        <w:rPr>
          <w:rFonts w:hint="eastAsia" w:ascii="仿宋_GB2312" w:hAnsi="仿宋_GB2312" w:eastAsia="仿宋_GB2312" w:cs="仿宋_GB2312"/>
          <w:color w:val="auto"/>
          <w:sz w:val="32"/>
          <w:szCs w:val="32"/>
        </w:rPr>
        <w:t>坚持以习近平新时代中国特色社会主义思想为指导，深入学习贯彻党的二十</w:t>
      </w:r>
      <w:r>
        <w:rPr>
          <w:rFonts w:hint="eastAsia" w:ascii="仿宋_GB2312" w:hAnsi="仿宋_GB2312" w:eastAsia="仿宋_GB2312" w:cs="仿宋_GB2312"/>
          <w:color w:val="auto"/>
          <w:sz w:val="32"/>
          <w:szCs w:val="32"/>
          <w:lang w:val="en-US" w:eastAsia="zh-CN"/>
        </w:rPr>
        <w:t>届三中全会</w:t>
      </w:r>
      <w:r>
        <w:rPr>
          <w:rFonts w:hint="eastAsia" w:ascii="仿宋_GB2312" w:hAnsi="仿宋_GB2312" w:eastAsia="仿宋_GB2312" w:cs="仿宋_GB2312"/>
          <w:color w:val="auto"/>
          <w:sz w:val="32"/>
          <w:szCs w:val="32"/>
        </w:rPr>
        <w:t>精神，在</w:t>
      </w:r>
      <w:r>
        <w:rPr>
          <w:rFonts w:hint="eastAsia" w:ascii="仿宋_GB2312" w:hAnsi="仿宋_GB2312" w:eastAsia="仿宋_GB2312" w:cs="仿宋_GB2312"/>
          <w:color w:val="auto"/>
          <w:sz w:val="32"/>
          <w:szCs w:val="32"/>
          <w:lang w:val="en-US" w:eastAsia="zh-CN"/>
        </w:rPr>
        <w:t>市</w:t>
      </w:r>
      <w:r>
        <w:rPr>
          <w:rFonts w:hint="eastAsia" w:ascii="仿宋_GB2312" w:hAnsi="仿宋_GB2312" w:eastAsia="仿宋_GB2312" w:cs="仿宋_GB2312"/>
          <w:color w:val="auto"/>
          <w:sz w:val="32"/>
          <w:szCs w:val="32"/>
        </w:rPr>
        <w:t>委、</w:t>
      </w:r>
      <w:r>
        <w:rPr>
          <w:rFonts w:hint="eastAsia" w:ascii="仿宋_GB2312" w:hAnsi="仿宋_GB2312" w:eastAsia="仿宋_GB2312" w:cs="仿宋_GB2312"/>
          <w:color w:val="auto"/>
          <w:sz w:val="32"/>
          <w:szCs w:val="32"/>
          <w:lang w:val="en-US" w:eastAsia="zh-CN"/>
        </w:rPr>
        <w:t>市</w:t>
      </w:r>
      <w:r>
        <w:rPr>
          <w:rFonts w:hint="eastAsia" w:ascii="仿宋_GB2312" w:hAnsi="仿宋_GB2312" w:eastAsia="仿宋_GB2312" w:cs="仿宋_GB2312"/>
          <w:color w:val="auto"/>
          <w:sz w:val="32"/>
          <w:szCs w:val="32"/>
        </w:rPr>
        <w:t>政府的坚强领导和</w:t>
      </w:r>
      <w:r>
        <w:rPr>
          <w:rFonts w:hint="eastAsia" w:ascii="仿宋_GB2312" w:hAnsi="仿宋_GB2312" w:eastAsia="仿宋_GB2312" w:cs="仿宋_GB2312"/>
          <w:color w:val="auto"/>
          <w:sz w:val="32"/>
          <w:szCs w:val="32"/>
          <w:lang w:val="en-US" w:eastAsia="zh-CN"/>
        </w:rPr>
        <w:t>市卫健委</w:t>
      </w:r>
      <w:r>
        <w:rPr>
          <w:rFonts w:hint="eastAsia" w:ascii="仿宋_GB2312" w:hAnsi="仿宋_GB2312" w:eastAsia="仿宋_GB2312" w:cs="仿宋_GB2312"/>
          <w:color w:val="auto"/>
          <w:sz w:val="32"/>
          <w:szCs w:val="32"/>
        </w:rPr>
        <w:t>的悉心指导下，紧紧围绕卫生健康事业发展大局，以保障临床用血安全供给为重点，全</w:t>
      </w:r>
      <w:r>
        <w:rPr>
          <w:rFonts w:hint="eastAsia" w:ascii="仿宋_GB2312" w:hAnsi="仿宋_GB2312" w:eastAsia="仿宋_GB2312" w:cs="仿宋_GB2312"/>
          <w:color w:val="auto"/>
          <w:sz w:val="32"/>
          <w:szCs w:val="32"/>
          <w:lang w:val="en-US" w:eastAsia="zh-CN"/>
        </w:rPr>
        <w:t>站</w:t>
      </w:r>
      <w:r>
        <w:rPr>
          <w:rFonts w:hint="eastAsia" w:ascii="仿宋_GB2312" w:hAnsi="仿宋_GB2312" w:eastAsia="仿宋_GB2312" w:cs="仿宋_GB2312"/>
          <w:color w:val="auto"/>
          <w:sz w:val="32"/>
          <w:szCs w:val="32"/>
        </w:rPr>
        <w:t>干部职工团结一心、担当作为，各项工作有序推进。</w:t>
      </w:r>
      <w:r>
        <w:rPr>
          <w:rFonts w:hint="eastAsia" w:ascii="楷体_GB2312" w:hAnsi="楷体_GB2312" w:eastAsia="楷体_GB2312" w:cs="楷体_GB2312"/>
          <w:b w:val="0"/>
          <w:bCs w:val="0"/>
          <w:color w:val="auto"/>
          <w:sz w:val="32"/>
          <w:szCs w:val="32"/>
          <w:lang w:val="en-US" w:eastAsia="zh-CN"/>
        </w:rPr>
        <w:t>一是优化采血环境。</w:t>
      </w:r>
      <w:r>
        <w:rPr>
          <w:rFonts w:hint="eastAsia" w:ascii="仿宋_GB2312" w:hAnsi="仿宋_GB2312" w:eastAsia="仿宋_GB2312" w:cs="仿宋_GB2312"/>
          <w:color w:val="auto"/>
          <w:sz w:val="32"/>
          <w:szCs w:val="32"/>
          <w:lang w:val="en-US" w:eastAsia="zh-CN"/>
        </w:rPr>
        <w:t>新增采血车辆停靠点1个，调整优化移动献血屋停靠点1个，采血车和采血房车更新正在紧锣密鼓实施中。特别是平江水灾期间，采血车秒变“爱心车”，得到人民群众的高度认可。</w:t>
      </w:r>
      <w:r>
        <w:rPr>
          <w:rFonts w:hint="eastAsia" w:ascii="仿宋_GB2312" w:hAnsi="仿宋_GB2312" w:eastAsia="仿宋_GB2312" w:cs="仿宋_GB2312"/>
          <w:b w:val="0"/>
          <w:bCs w:val="0"/>
          <w:color w:val="auto"/>
          <w:sz w:val="32"/>
          <w:szCs w:val="32"/>
          <w:lang w:val="en-US" w:eastAsia="zh-CN"/>
        </w:rPr>
        <w:t>二是提升储血能力</w:t>
      </w:r>
      <w:r>
        <w:rPr>
          <w:rFonts w:hint="eastAsia" w:ascii="仿宋_GB2312" w:hAnsi="仿宋_GB2312" w:eastAsia="仿宋_GB2312" w:cs="仿宋_GB2312"/>
          <w:color w:val="auto"/>
          <w:sz w:val="32"/>
          <w:szCs w:val="32"/>
          <w:lang w:val="en-US" w:eastAsia="zh-CN"/>
        </w:rPr>
        <w:t>。对血库实施了智能化升级改造，对血库的储存设备进行了更新，引入了先进的智能血浆冷冻设备，升级了红细胞冷藏库。血液储存区域划分更加合理，血库的工作流程和空间布局更加优化，血液出入库工作更加规范。全年共供应临床红细胞袋40357袋72152个单位，冷沉淀26764袋48407个单位，单采血小板34375袋34356个治疗量，血浆45405袋65533.4个单位。</w:t>
      </w:r>
      <w:r>
        <w:rPr>
          <w:rFonts w:hint="eastAsia" w:ascii="仿宋_GB2312" w:hAnsi="仿宋_GB2312" w:eastAsia="仿宋_GB2312" w:cs="仿宋_GB2312"/>
          <w:b w:val="0"/>
          <w:bCs w:val="0"/>
          <w:color w:val="auto"/>
          <w:sz w:val="32"/>
          <w:szCs w:val="32"/>
          <w:lang w:val="en-US" w:eastAsia="zh-CN"/>
        </w:rPr>
        <w:t>三是及时用血报销</w:t>
      </w:r>
      <w:r>
        <w:rPr>
          <w:rFonts w:hint="eastAsia" w:ascii="仿宋_GB2312" w:hAnsi="仿宋_GB2312" w:eastAsia="仿宋_GB2312" w:cs="仿宋_GB2312"/>
          <w:color w:val="auto"/>
          <w:sz w:val="32"/>
          <w:szCs w:val="32"/>
          <w:lang w:val="en-US" w:eastAsia="zh-CN"/>
        </w:rPr>
        <w:t>。热诚服务，认真做好了无偿献血、免费用血报销工作，全年共为464人报销61万余元，其中在湖南省血液管理综合平台报销178人，在微信公众号报销161人。对705位血液检测结果不合格的无偿献血志愿者给予安慰并耐心作出合理解释及疏导。</w:t>
      </w:r>
      <w:r>
        <w:rPr>
          <w:rFonts w:hint="eastAsia" w:ascii="仿宋_GB2312" w:hAnsi="仿宋_GB2312" w:eastAsia="仿宋_GB2312" w:cs="仿宋_GB2312"/>
          <w:b w:val="0"/>
          <w:bCs w:val="0"/>
          <w:color w:val="auto"/>
          <w:sz w:val="32"/>
          <w:szCs w:val="32"/>
          <w:lang w:val="en-US" w:eastAsia="zh-CN"/>
        </w:rPr>
        <w:t>四是用心输血督导。</w:t>
      </w:r>
      <w:r>
        <w:rPr>
          <w:rFonts w:hint="eastAsia" w:ascii="仿宋_GB2312" w:hAnsi="仿宋_GB2312" w:eastAsia="仿宋_GB2312" w:cs="仿宋_GB2312"/>
          <w:color w:val="auto"/>
          <w:sz w:val="32"/>
          <w:szCs w:val="32"/>
          <w:lang w:val="en-US" w:eastAsia="zh-CN"/>
        </w:rPr>
        <w:t>在省、市卫健委医政医管处的指导下，联合市血液质控中心加强医疗用血调研督导；举办输血技术培训班，邀请李碧娟等专家进行讲座，提高我市医疗机构输血技术水平。开展临床输血指导113次，完成临床疑难输血标本的检测491例，血小板抗体检测278例，血小板血清学配型29例，新增130个HLA/HPA基因分型检测数据库，与医院输血科或临床医生及时沟通，为患者制定最有效的输血方案，避免了不良输血反应发生。</w:t>
      </w:r>
    </w:p>
    <w:p w14:paraId="1AE1E81D">
      <w:pPr>
        <w:numPr>
          <w:ilvl w:val="0"/>
          <w:numId w:val="0"/>
        </w:numPr>
        <w:overflowPunct w:val="0"/>
        <w:spacing w:line="600" w:lineRule="exact"/>
        <w:ind w:firstLine="640" w:firstLineChars="200"/>
        <w:rPr>
          <w:rFonts w:hint="eastAsia" w:ascii="Times New Roman" w:hAnsi="Times New Roman" w:eastAsia="仿宋_GB2312" w:cs="Times New Roman"/>
          <w:color w:val="auto"/>
          <w:kern w:val="0"/>
          <w:sz w:val="32"/>
          <w:szCs w:val="32"/>
          <w:lang w:val="en-US" w:eastAsia="zh-CN"/>
        </w:rPr>
      </w:pPr>
      <w:r>
        <w:rPr>
          <w:rFonts w:hint="eastAsia" w:ascii="Times New Roman" w:hAnsi="Times New Roman" w:eastAsia="仿宋_GB2312" w:cs="Times New Roman"/>
          <w:b/>
          <w:bCs/>
          <w:kern w:val="0"/>
          <w:sz w:val="32"/>
          <w:szCs w:val="32"/>
          <w:lang w:val="en-US" w:eastAsia="zh-CN"/>
        </w:rPr>
        <w:t>2.</w:t>
      </w:r>
      <w:r>
        <w:rPr>
          <w:rFonts w:ascii="Times New Roman" w:hAnsi="Times New Roman" w:eastAsia="仿宋_GB2312" w:cs="Times New Roman"/>
          <w:b/>
          <w:bCs/>
          <w:kern w:val="0"/>
          <w:sz w:val="32"/>
          <w:szCs w:val="32"/>
        </w:rPr>
        <w:t>部门评价开展情况</w:t>
      </w:r>
      <w:r>
        <w:rPr>
          <w:rFonts w:hint="eastAsia" w:ascii="Times New Roman" w:hAnsi="Times New Roman" w:eastAsia="仿宋_GB2312" w:cs="Times New Roman"/>
          <w:b/>
          <w:bCs/>
          <w:kern w:val="0"/>
          <w:sz w:val="32"/>
          <w:szCs w:val="32"/>
          <w:lang w:eastAsia="zh-CN"/>
        </w:rPr>
        <w:t>。</w:t>
      </w:r>
      <w:r>
        <w:rPr>
          <w:rFonts w:hint="eastAsia" w:ascii="Times New Roman" w:hAnsi="Times New Roman" w:eastAsia="仿宋_GB2312" w:cs="Times New Roman"/>
          <w:color w:val="auto"/>
          <w:kern w:val="0"/>
          <w:sz w:val="32"/>
          <w:szCs w:val="32"/>
          <w:lang w:val="en-US" w:eastAsia="zh-CN"/>
        </w:rPr>
        <w:t>本单位为二级预算单位，部门评价开展情况可详见上级部门决算公开说明。</w:t>
      </w:r>
    </w:p>
    <w:p w14:paraId="004D01B3">
      <w:pPr>
        <w:numPr>
          <w:ilvl w:val="0"/>
          <w:numId w:val="0"/>
        </w:numPr>
        <w:overflowPunct w:val="0"/>
        <w:spacing w:line="600" w:lineRule="exact"/>
        <w:ind w:firstLine="640" w:firstLineChars="200"/>
        <w:rPr>
          <w:rFonts w:ascii="Times New Roman" w:hAnsi="Times New Roman" w:eastAsia="楷体" w:cs="Times New Roman"/>
          <w:b/>
          <w:bCs/>
          <w:color w:val="auto"/>
          <w:sz w:val="32"/>
          <w:szCs w:val="32"/>
        </w:rPr>
      </w:pPr>
      <w:r>
        <w:rPr>
          <w:rFonts w:hint="eastAsia" w:ascii="Times New Roman" w:hAnsi="Times New Roman" w:eastAsia="仿宋_GB2312" w:cs="Times New Roman"/>
          <w:kern w:val="0"/>
          <w:sz w:val="32"/>
          <w:szCs w:val="32"/>
          <w:lang w:val="en-US" w:eastAsia="zh-CN"/>
        </w:rPr>
        <w:t>3.</w:t>
      </w:r>
      <w:r>
        <w:rPr>
          <w:rFonts w:ascii="Times New Roman" w:hAnsi="Times New Roman" w:eastAsia="仿宋_GB2312" w:cs="Times New Roman"/>
          <w:b/>
          <w:bCs/>
          <w:kern w:val="0"/>
          <w:sz w:val="32"/>
          <w:szCs w:val="32"/>
        </w:rPr>
        <w:t>事前绩效评估开展情况</w:t>
      </w:r>
      <w:r>
        <w:rPr>
          <w:rFonts w:hint="eastAsia" w:ascii="Times New Roman" w:hAnsi="Times New Roman" w:eastAsia="仿宋_GB2312" w:cs="Times New Roman"/>
          <w:b/>
          <w:bCs/>
          <w:kern w:val="0"/>
          <w:sz w:val="32"/>
          <w:szCs w:val="32"/>
          <w:lang w:eastAsia="zh-CN"/>
        </w:rPr>
        <w:t>。</w:t>
      </w:r>
      <w:r>
        <w:rPr>
          <w:rFonts w:hint="eastAsia" w:ascii="Times New Roman" w:hAnsi="Times New Roman" w:eastAsia="仿宋_GB2312" w:cs="Times New Roman"/>
          <w:color w:val="auto"/>
          <w:kern w:val="0"/>
          <w:sz w:val="32"/>
          <w:szCs w:val="32"/>
          <w:lang w:val="en-US" w:eastAsia="zh-CN"/>
        </w:rPr>
        <w:t>本单位为二级预算单位，事前绩效评估开展情况可详见上级部门决算公开说明。</w:t>
      </w:r>
    </w:p>
    <w:p w14:paraId="6FC8205B">
      <w:pPr>
        <w:overflowPunct w:val="0"/>
        <w:spacing w:line="600" w:lineRule="exact"/>
        <w:ind w:firstLine="640" w:firstLineChars="200"/>
        <w:rPr>
          <w:rFonts w:ascii="Times New Roman" w:hAnsi="Times New Roman" w:eastAsia="楷体_GB2312" w:cs="Times New Roman"/>
          <w:b/>
          <w:bCs/>
          <w:sz w:val="32"/>
          <w:szCs w:val="32"/>
        </w:rPr>
      </w:pPr>
      <w:r>
        <w:rPr>
          <w:rFonts w:ascii="Times New Roman" w:hAnsi="Times New Roman" w:eastAsia="楷体_GB2312" w:cs="Times New Roman"/>
          <w:b/>
          <w:bCs/>
          <w:sz w:val="32"/>
          <w:szCs w:val="32"/>
        </w:rPr>
        <w:t>（二）绩效评价结果</w:t>
      </w:r>
    </w:p>
    <w:p w14:paraId="5CCB9BDA">
      <w:pPr>
        <w:keepNext w:val="0"/>
        <w:keepLines w:val="0"/>
        <w:pageBreakBefore w:val="0"/>
        <w:widowControl/>
        <w:kinsoku/>
        <w:wordWrap/>
        <w:overflowPunct/>
        <w:topLinePunct w:val="0"/>
        <w:autoSpaceDE/>
        <w:autoSpaceDN/>
        <w:bidi w:val="0"/>
        <w:adjustRightInd/>
        <w:snapToGrid/>
        <w:spacing w:line="600" w:lineRule="exact"/>
        <w:ind w:firstLine="640" w:firstLineChars="200"/>
        <w:jc w:val="left"/>
        <w:textAlignment w:val="auto"/>
        <w:rPr>
          <w:rFonts w:hint="eastAsia" w:ascii="仿宋_GB2312" w:hAnsi="仿宋_GB2312" w:eastAsia="仿宋_GB2312" w:cs="仿宋_GB2312"/>
          <w:color w:val="auto"/>
          <w:kern w:val="0"/>
          <w:sz w:val="32"/>
          <w:szCs w:val="32"/>
          <w:lang w:eastAsia="zh-CN"/>
        </w:rPr>
      </w:pPr>
      <w:r>
        <w:rPr>
          <w:rFonts w:hint="eastAsia" w:ascii="Times New Roman" w:hAnsi="Times New Roman" w:eastAsia="仿宋_GB2312" w:cs="Times New Roman"/>
          <w:kern w:val="0"/>
          <w:sz w:val="32"/>
          <w:szCs w:val="32"/>
          <w:lang w:val="en-US" w:eastAsia="zh-CN"/>
        </w:rPr>
        <w:t>1.</w:t>
      </w:r>
      <w:r>
        <w:rPr>
          <w:rFonts w:ascii="Times New Roman" w:hAnsi="Times New Roman" w:eastAsia="仿宋_GB2312" w:cs="Times New Roman"/>
          <w:b/>
          <w:bCs/>
          <w:kern w:val="0"/>
          <w:sz w:val="32"/>
          <w:szCs w:val="32"/>
        </w:rPr>
        <w:t>绩效自评结果。</w:t>
      </w:r>
      <w:r>
        <w:rPr>
          <w:rFonts w:ascii="Times New Roman" w:hAnsi="Times New Roman" w:eastAsia="仿宋_GB2312" w:cs="Times New Roman"/>
          <w:kern w:val="0"/>
          <w:sz w:val="32"/>
          <w:szCs w:val="32"/>
        </w:rPr>
        <w:t>2024年度本单位整体支出</w:t>
      </w:r>
      <w:r>
        <w:rPr>
          <w:rFonts w:ascii="Times New Roman" w:hAnsi="Times New Roman" w:eastAsia="仿宋_GB2312" w:cs="Times New Roman"/>
          <w:sz w:val="32"/>
          <w:szCs w:val="32"/>
        </w:rPr>
        <w:t>全年预算数</w:t>
      </w:r>
      <w:r>
        <w:rPr>
          <w:rFonts w:hint="eastAsia" w:ascii="Times New Roman" w:hAnsi="Times New Roman" w:eastAsia="仿宋_GB2312" w:cs="Times New Roman"/>
          <w:sz w:val="32"/>
          <w:szCs w:val="32"/>
          <w:lang w:val="en-US" w:eastAsia="zh-CN"/>
        </w:rPr>
        <w:t>8427.2</w:t>
      </w:r>
      <w:r>
        <w:rPr>
          <w:rFonts w:ascii="Times New Roman" w:hAnsi="Times New Roman" w:eastAsia="仿宋_GB2312" w:cs="Times New Roman"/>
          <w:sz w:val="32"/>
          <w:szCs w:val="32"/>
        </w:rPr>
        <w:t>万元，执行数</w:t>
      </w:r>
      <w:r>
        <w:rPr>
          <w:rFonts w:hint="eastAsia" w:ascii="Times New Roman" w:hAnsi="Times New Roman" w:eastAsia="仿宋_GB2312" w:cs="Times New Roman"/>
          <w:sz w:val="32"/>
          <w:szCs w:val="32"/>
          <w:lang w:val="en-US" w:eastAsia="zh-CN"/>
        </w:rPr>
        <w:t>8366.78</w:t>
      </w:r>
      <w:r>
        <w:rPr>
          <w:rFonts w:ascii="Times New Roman" w:hAnsi="Times New Roman" w:eastAsia="仿宋_GB2312" w:cs="Times New Roman"/>
          <w:sz w:val="32"/>
          <w:szCs w:val="32"/>
        </w:rPr>
        <w:t>万元，完成预算的</w:t>
      </w:r>
      <w:r>
        <w:rPr>
          <w:rFonts w:hint="eastAsia" w:ascii="Times New Roman" w:hAnsi="Times New Roman" w:eastAsia="仿宋_GB2312" w:cs="Times New Roman"/>
          <w:sz w:val="32"/>
          <w:szCs w:val="32"/>
          <w:lang w:val="en-US" w:eastAsia="zh-CN"/>
        </w:rPr>
        <w:t>99.28</w:t>
      </w:r>
      <w:r>
        <w:rPr>
          <w:rFonts w:ascii="Times New Roman" w:hAnsi="Times New Roman" w:eastAsia="仿宋_GB2312" w:cs="Times New Roman"/>
          <w:sz w:val="32"/>
          <w:szCs w:val="32"/>
        </w:rPr>
        <w:t>%</w:t>
      </w:r>
      <w:r>
        <w:rPr>
          <w:rFonts w:ascii="Times New Roman" w:hAnsi="Times New Roman" w:eastAsia="仿宋_GB2312" w:cs="Times New Roman"/>
          <w:kern w:val="0"/>
          <w:sz w:val="32"/>
          <w:szCs w:val="32"/>
        </w:rPr>
        <w:t>，绩效自评得分</w:t>
      </w:r>
      <w:r>
        <w:rPr>
          <w:rFonts w:hint="eastAsia" w:ascii="Times New Roman" w:hAnsi="Times New Roman" w:eastAsia="仿宋_GB2312" w:cs="Times New Roman"/>
          <w:sz w:val="32"/>
          <w:szCs w:val="32"/>
          <w:lang w:val="en-US" w:eastAsia="zh-CN"/>
        </w:rPr>
        <w:t>97.93</w:t>
      </w:r>
      <w:r>
        <w:rPr>
          <w:rFonts w:ascii="Times New Roman" w:hAnsi="Times New Roman" w:eastAsia="仿宋_GB2312" w:cs="Times New Roman"/>
          <w:sz w:val="32"/>
          <w:szCs w:val="32"/>
        </w:rPr>
        <w:t>分</w:t>
      </w:r>
      <w:r>
        <w:rPr>
          <w:rFonts w:ascii="Times New Roman" w:hAnsi="Times New Roman" w:eastAsia="仿宋_GB2312" w:cs="Times New Roman"/>
          <w:kern w:val="0"/>
          <w:sz w:val="32"/>
          <w:szCs w:val="32"/>
        </w:rPr>
        <w:t>，评价等级为</w:t>
      </w: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lang w:val="en-US" w:eastAsia="zh-CN"/>
        </w:rPr>
        <w:t>优秀”</w:t>
      </w:r>
      <w:r>
        <w:rPr>
          <w:rFonts w:ascii="Times New Roman" w:hAnsi="Times New Roman" w:eastAsia="仿宋_GB2312" w:cs="Times New Roman"/>
          <w:sz w:val="32"/>
          <w:szCs w:val="32"/>
        </w:rPr>
        <w:t>。绩效目标完成情况：一是</w:t>
      </w:r>
      <w:r>
        <w:rPr>
          <w:rFonts w:hint="eastAsia" w:ascii="仿宋_GB2312" w:hAnsi="仿宋_GB2312" w:eastAsia="仿宋_GB2312" w:cs="仿宋_GB2312"/>
          <w:color w:val="auto"/>
          <w:sz w:val="32"/>
          <w:szCs w:val="32"/>
          <w:lang w:val="en-US" w:eastAsia="zh-CN"/>
        </w:rPr>
        <w:t>全年血液质量检测准确率100%，成功排查报废不安全血液662份，参加国家、省临检中心的室间质评结果符合率均为100%，全年无一例质量安全差错事故发生，再次荣获“省血液安全技术核查优胜单位”</w:t>
      </w:r>
      <w:r>
        <w:rPr>
          <w:rFonts w:ascii="Times New Roman" w:hAnsi="Times New Roman" w:eastAsia="仿宋_GB2312" w:cs="Times New Roman"/>
          <w:sz w:val="32"/>
          <w:szCs w:val="32"/>
        </w:rPr>
        <w:t>；二是</w:t>
      </w:r>
      <w:r>
        <w:rPr>
          <w:rFonts w:hint="eastAsia" w:ascii="Times New Roman" w:hAnsi="Times New Roman" w:eastAsia="仿宋_GB2312" w:cs="Times New Roman"/>
          <w:sz w:val="32"/>
          <w:szCs w:val="32"/>
          <w:lang w:val="en-US" w:eastAsia="zh-CN"/>
        </w:rPr>
        <w:t>献血者回访满意度大于等于96%；三是</w:t>
      </w:r>
      <w:r>
        <w:rPr>
          <w:rFonts w:hint="eastAsia" w:ascii="仿宋_GB2312" w:hAnsi="仿宋_GB2312" w:eastAsia="仿宋_GB2312" w:cs="仿宋_GB2312"/>
          <w:b w:val="0"/>
          <w:bCs w:val="0"/>
          <w:color w:val="auto"/>
          <w:sz w:val="32"/>
          <w:szCs w:val="32"/>
          <w:lang w:val="en-US" w:eastAsia="zh-CN"/>
        </w:rPr>
        <w:t>“三免”政策落地</w:t>
      </w:r>
      <w:r>
        <w:rPr>
          <w:rFonts w:hint="eastAsia" w:ascii="仿宋_GB2312" w:hAnsi="仿宋_GB2312" w:eastAsia="仿宋_GB2312" w:cs="仿宋_GB2312"/>
          <w:color w:val="auto"/>
          <w:sz w:val="32"/>
          <w:szCs w:val="32"/>
          <w:lang w:val="en-US" w:eastAsia="zh-CN"/>
        </w:rPr>
        <w:t>。通过与市政府、市卫健委、市国资委、市交通局，市文旅广电局、市红十字会、市城投公司、市公交集团等单位的汇报、沟通、协调，《关于落实无偿献血获奖者“三免”优待政策有关问题的会议纪要》（</w:t>
      </w:r>
      <w:r>
        <w:rPr>
          <w:rFonts w:ascii="仿宋_GB2312" w:hAnsi="宋体" w:eastAsia="仿宋_GB2312" w:cs="仿宋_GB2312"/>
          <w:color w:val="auto"/>
          <w:kern w:val="0"/>
          <w:sz w:val="31"/>
          <w:szCs w:val="31"/>
          <w:lang w:val="en-US" w:eastAsia="zh-CN" w:bidi="ar"/>
        </w:rPr>
        <w:t>岳府阅〔2024〕10 号</w:t>
      </w:r>
      <w:r>
        <w:rPr>
          <w:rFonts w:hint="eastAsia" w:ascii="仿宋_GB2312" w:hAnsi="仿宋_GB2312" w:eastAsia="仿宋_GB2312" w:cs="仿宋_GB2312"/>
          <w:color w:val="auto"/>
          <w:sz w:val="32"/>
          <w:szCs w:val="32"/>
          <w:lang w:val="en-US" w:eastAsia="zh-CN"/>
        </w:rPr>
        <w:t>）已印发，目前已进入对象公示阶段。“三免”政策在我市的落地，是对无偿献血者、志愿者的实实在在的激励，将对无偿献血工作开展起到积极的推动作用；四是</w:t>
      </w:r>
      <w:r>
        <w:rPr>
          <w:rFonts w:hint="eastAsia" w:ascii="仿宋_GB2312" w:hAnsi="仿宋_GB2312" w:eastAsia="仿宋_GB2312" w:cs="仿宋_GB2312"/>
          <w:b w:val="0"/>
          <w:bCs w:val="0"/>
          <w:sz w:val="32"/>
          <w:szCs w:val="32"/>
          <w:lang w:val="en-US" w:eastAsia="zh-CN"/>
        </w:rPr>
        <w:t>确保临床用血安全，实现血站可持续发展。</w:t>
      </w:r>
      <w:r>
        <w:rPr>
          <w:rFonts w:ascii="Times New Roman" w:hAnsi="Times New Roman" w:eastAsia="仿宋_GB2312" w:cs="Times New Roman"/>
          <w:sz w:val="32"/>
          <w:szCs w:val="32"/>
        </w:rPr>
        <w:t>发现的主要问题及原因：</w:t>
      </w:r>
      <w:r>
        <w:rPr>
          <w:rFonts w:ascii="Times New Roman" w:hAnsi="Times New Roman" w:eastAsia="仿宋_GB2312" w:cs="Times New Roman"/>
          <w:b w:val="0"/>
          <w:bCs w:val="0"/>
          <w:sz w:val="32"/>
          <w:szCs w:val="32"/>
        </w:rPr>
        <w:t>一是</w:t>
      </w:r>
      <w:r>
        <w:rPr>
          <w:rFonts w:hint="eastAsia" w:ascii="楷体" w:hAnsi="楷体" w:eastAsia="楷体" w:cs="楷体"/>
          <w:b w:val="0"/>
          <w:bCs w:val="0"/>
          <w:color w:val="auto"/>
          <w:sz w:val="32"/>
          <w:szCs w:val="40"/>
          <w:lang w:val="en-US" w:eastAsia="zh-CN"/>
        </w:rPr>
        <w:t>血液采集压力大。</w:t>
      </w:r>
      <w:r>
        <w:rPr>
          <w:rFonts w:hint="eastAsia" w:ascii="仿宋_GB2312" w:hAnsi="仿宋_GB2312" w:eastAsia="仿宋_GB2312" w:cs="仿宋_GB2312"/>
          <w:color w:val="auto"/>
          <w:sz w:val="32"/>
          <w:szCs w:val="40"/>
          <w:lang w:val="en-US" w:eastAsia="zh-CN"/>
        </w:rPr>
        <w:t>受过紧日子的要求，财政对单位资金使用方式及额度的不确定；与县市区和高校等工作推动模式的改变；新冠疫情后，人民群众健康观念改变，对无偿献血认识存在偏见；“小马拉大车”整治及基层减负工作开展，干部群众献血意愿显著降低；气象灾害团体预约计划频繁调整等因素影响，预约计划完成打折扣，出现季节性血源紧张现象</w:t>
      </w:r>
      <w:r>
        <w:rPr>
          <w:rFonts w:ascii="Times New Roman" w:hAnsi="Times New Roman" w:eastAsia="仿宋_GB2312" w:cs="Times New Roman"/>
          <w:sz w:val="32"/>
          <w:szCs w:val="32"/>
        </w:rPr>
        <w:t>；</w:t>
      </w:r>
      <w:r>
        <w:rPr>
          <w:rFonts w:ascii="Times New Roman" w:hAnsi="Times New Roman" w:eastAsia="仿宋_GB2312" w:cs="Times New Roman"/>
          <w:b w:val="0"/>
          <w:bCs w:val="0"/>
          <w:sz w:val="32"/>
          <w:szCs w:val="32"/>
        </w:rPr>
        <w:t>二是</w:t>
      </w:r>
      <w:r>
        <w:rPr>
          <w:rFonts w:hint="eastAsia" w:ascii="楷体" w:hAnsi="楷体" w:eastAsia="楷体" w:cs="楷体"/>
          <w:b w:val="0"/>
          <w:bCs w:val="0"/>
          <w:color w:val="auto"/>
          <w:sz w:val="32"/>
          <w:szCs w:val="40"/>
          <w:lang w:val="en-US" w:eastAsia="zh-CN"/>
        </w:rPr>
        <w:t>设备老化需更新</w:t>
      </w:r>
      <w:r>
        <w:rPr>
          <w:rFonts w:hint="eastAsia" w:ascii="仿宋_GB2312" w:hAnsi="仿宋_GB2312" w:eastAsia="仿宋_GB2312" w:cs="仿宋_GB2312"/>
          <w:b w:val="0"/>
          <w:bCs w:val="0"/>
          <w:color w:val="auto"/>
          <w:sz w:val="32"/>
          <w:szCs w:val="40"/>
          <w:lang w:val="en-US" w:eastAsia="zh-CN"/>
        </w:rPr>
        <w:t>。</w:t>
      </w:r>
      <w:r>
        <w:rPr>
          <w:rFonts w:hint="eastAsia" w:ascii="仿宋_GB2312" w:hAnsi="仿宋_GB2312" w:eastAsia="仿宋_GB2312" w:cs="仿宋_GB2312"/>
          <w:color w:val="auto"/>
          <w:sz w:val="32"/>
          <w:szCs w:val="40"/>
          <w:lang w:val="en-US" w:eastAsia="zh-CN"/>
        </w:rPr>
        <w:t>站内部分仪器设备使用年代久远，超年限使用设备较多，虽然进行了维护保养，但仍存在功能下降，故障频发等重大隐患；</w:t>
      </w:r>
      <w:r>
        <w:rPr>
          <w:rFonts w:hint="eastAsia" w:ascii="仿宋_GB2312" w:hAnsi="仿宋_GB2312" w:eastAsia="仿宋_GB2312" w:cs="仿宋_GB2312"/>
          <w:b w:val="0"/>
          <w:bCs w:val="0"/>
          <w:color w:val="auto"/>
          <w:sz w:val="32"/>
          <w:szCs w:val="40"/>
          <w:lang w:val="en-US" w:eastAsia="zh-CN"/>
        </w:rPr>
        <w:t>三是</w:t>
      </w:r>
      <w:r>
        <w:rPr>
          <w:rFonts w:hint="eastAsia" w:ascii="仿宋_GB2312" w:hAnsi="仿宋_GB2312" w:eastAsia="仿宋_GB2312" w:cs="仿宋_GB2312"/>
          <w:b w:val="0"/>
          <w:bCs w:val="0"/>
          <w:color w:val="auto"/>
          <w:kern w:val="0"/>
          <w:sz w:val="32"/>
          <w:szCs w:val="32"/>
          <w:lang w:val="en-US" w:eastAsia="zh-CN"/>
        </w:rPr>
        <w:t>市本级项目资金被压缩。</w:t>
      </w:r>
      <w:r>
        <w:rPr>
          <w:rFonts w:hint="eastAsia" w:ascii="仿宋_GB2312" w:hAnsi="仿宋_GB2312" w:eastAsia="仿宋_GB2312" w:cs="仿宋_GB2312"/>
          <w:color w:val="auto"/>
          <w:kern w:val="0"/>
          <w:sz w:val="32"/>
          <w:szCs w:val="32"/>
        </w:rPr>
        <w:t>根据国家卫计委、财政部办公厅《关于做好血站核酸检测工作的通知》（国卫办医发〔2015〕11号）文件“血站加强核酸检测所需经费应当按照《关于完善政府卫生投入政策意见》（财社〔2009〕66号）有关要求，由同级财政负担。目前我站每年核酸检测支出约近400万元。市财政自2016年</w:t>
      </w:r>
      <w:r>
        <w:rPr>
          <w:rFonts w:hint="eastAsia" w:ascii="仿宋_GB2312" w:hAnsi="仿宋_GB2312" w:eastAsia="仿宋_GB2312" w:cs="仿宋_GB2312"/>
          <w:color w:val="auto"/>
          <w:kern w:val="0"/>
          <w:sz w:val="32"/>
          <w:szCs w:val="32"/>
          <w:lang w:val="en-US" w:eastAsia="zh-CN"/>
        </w:rPr>
        <w:t>起</w:t>
      </w:r>
      <w:r>
        <w:rPr>
          <w:rFonts w:hint="eastAsia" w:ascii="仿宋_GB2312" w:hAnsi="仿宋_GB2312" w:eastAsia="仿宋_GB2312" w:cs="仿宋_GB2312"/>
          <w:color w:val="auto"/>
          <w:kern w:val="0"/>
          <w:sz w:val="32"/>
          <w:szCs w:val="32"/>
        </w:rPr>
        <w:t>每年给予核酸经费专项拨款100万元。但20</w:t>
      </w:r>
      <w:r>
        <w:rPr>
          <w:rFonts w:hint="eastAsia" w:ascii="仿宋_GB2312" w:hAnsi="仿宋_GB2312" w:eastAsia="仿宋_GB2312" w:cs="仿宋_GB2312"/>
          <w:color w:val="auto"/>
          <w:kern w:val="0"/>
          <w:sz w:val="32"/>
          <w:szCs w:val="32"/>
          <w:lang w:val="en-US" w:eastAsia="zh-CN"/>
        </w:rPr>
        <w:t>20</w:t>
      </w:r>
      <w:r>
        <w:rPr>
          <w:rFonts w:hint="eastAsia" w:ascii="仿宋_GB2312" w:hAnsi="仿宋_GB2312" w:eastAsia="仿宋_GB2312" w:cs="仿宋_GB2312"/>
          <w:color w:val="auto"/>
          <w:kern w:val="0"/>
          <w:sz w:val="32"/>
          <w:szCs w:val="32"/>
        </w:rPr>
        <w:t>年</w:t>
      </w:r>
      <w:r>
        <w:rPr>
          <w:rFonts w:hint="eastAsia" w:ascii="仿宋_GB2312" w:hAnsi="仿宋_GB2312" w:eastAsia="仿宋_GB2312" w:cs="仿宋_GB2312"/>
          <w:color w:val="auto"/>
          <w:kern w:val="0"/>
          <w:sz w:val="32"/>
          <w:szCs w:val="32"/>
          <w:lang w:val="en-US" w:eastAsia="zh-CN"/>
        </w:rPr>
        <w:t>起</w:t>
      </w:r>
      <w:r>
        <w:rPr>
          <w:rFonts w:hint="eastAsia" w:ascii="仿宋_GB2312" w:hAnsi="仿宋_GB2312" w:eastAsia="仿宋_GB2312" w:cs="仿宋_GB2312"/>
          <w:color w:val="auto"/>
          <w:kern w:val="0"/>
          <w:sz w:val="32"/>
          <w:szCs w:val="32"/>
        </w:rPr>
        <w:t>市财对该项经费</w:t>
      </w:r>
      <w:r>
        <w:rPr>
          <w:rFonts w:hint="eastAsia" w:ascii="仿宋_GB2312" w:hAnsi="仿宋_GB2312" w:eastAsia="仿宋_GB2312" w:cs="仿宋_GB2312"/>
          <w:color w:val="auto"/>
          <w:kern w:val="0"/>
          <w:sz w:val="32"/>
          <w:szCs w:val="32"/>
          <w:lang w:val="en-US" w:eastAsia="zh-CN"/>
        </w:rPr>
        <w:t>逐年</w:t>
      </w:r>
      <w:r>
        <w:rPr>
          <w:rFonts w:hint="eastAsia" w:ascii="仿宋_GB2312" w:hAnsi="仿宋_GB2312" w:eastAsia="仿宋_GB2312" w:cs="仿宋_GB2312"/>
          <w:color w:val="auto"/>
          <w:kern w:val="0"/>
          <w:sz w:val="32"/>
          <w:szCs w:val="32"/>
        </w:rPr>
        <w:t>压缩，</w:t>
      </w:r>
      <w:r>
        <w:rPr>
          <w:rFonts w:hint="eastAsia" w:ascii="仿宋_GB2312" w:hAnsi="仿宋_GB2312" w:eastAsia="仿宋_GB2312" w:cs="仿宋_GB2312"/>
          <w:color w:val="auto"/>
          <w:kern w:val="0"/>
          <w:sz w:val="32"/>
          <w:szCs w:val="32"/>
          <w:lang w:val="en-US" w:eastAsia="zh-CN"/>
        </w:rPr>
        <w:t>2023年度</w:t>
      </w:r>
      <w:r>
        <w:rPr>
          <w:rFonts w:hint="eastAsia" w:ascii="仿宋_GB2312" w:hAnsi="仿宋_GB2312" w:eastAsia="仿宋_GB2312" w:cs="仿宋_GB2312"/>
          <w:color w:val="auto"/>
          <w:kern w:val="0"/>
          <w:sz w:val="32"/>
          <w:szCs w:val="32"/>
        </w:rPr>
        <w:t>下拨</w:t>
      </w:r>
      <w:r>
        <w:rPr>
          <w:rFonts w:hint="eastAsia" w:ascii="仿宋_GB2312" w:hAnsi="仿宋_GB2312" w:eastAsia="仿宋_GB2312" w:cs="仿宋_GB2312"/>
          <w:color w:val="auto"/>
          <w:kern w:val="0"/>
          <w:sz w:val="32"/>
          <w:szCs w:val="32"/>
          <w:lang w:val="en-US" w:eastAsia="zh-CN"/>
        </w:rPr>
        <w:t>5</w:t>
      </w:r>
      <w:r>
        <w:rPr>
          <w:rFonts w:hint="eastAsia" w:ascii="仿宋_GB2312" w:hAnsi="仿宋_GB2312" w:eastAsia="仿宋_GB2312" w:cs="仿宋_GB2312"/>
          <w:color w:val="auto"/>
          <w:kern w:val="0"/>
          <w:sz w:val="32"/>
          <w:szCs w:val="32"/>
        </w:rPr>
        <w:t>0万元</w:t>
      </w:r>
      <w:r>
        <w:rPr>
          <w:rFonts w:hint="eastAsia" w:ascii="仿宋_GB2312" w:hAnsi="仿宋_GB2312" w:eastAsia="仿宋_GB2312" w:cs="仿宋_GB2312"/>
          <w:color w:val="auto"/>
          <w:kern w:val="0"/>
          <w:sz w:val="32"/>
          <w:szCs w:val="32"/>
          <w:lang w:eastAsia="zh-CN"/>
        </w:rPr>
        <w:t>，</w:t>
      </w:r>
      <w:r>
        <w:rPr>
          <w:rFonts w:hint="eastAsia" w:ascii="仿宋_GB2312" w:hAnsi="仿宋_GB2312" w:eastAsia="仿宋_GB2312" w:cs="仿宋_GB2312"/>
          <w:color w:val="auto"/>
          <w:kern w:val="0"/>
          <w:sz w:val="32"/>
          <w:szCs w:val="32"/>
          <w:lang w:val="en-US" w:eastAsia="zh-CN"/>
        </w:rPr>
        <w:t>2024年度核酸经费拨款0万元。</w:t>
      </w:r>
      <w:r>
        <w:rPr>
          <w:rFonts w:hint="eastAsia" w:ascii="仿宋_GB2312" w:hAnsi="仿宋_GB2312" w:eastAsia="仿宋_GB2312" w:cs="仿宋_GB2312"/>
          <w:color w:val="auto"/>
          <w:kern w:val="0"/>
          <w:sz w:val="32"/>
          <w:szCs w:val="32"/>
        </w:rPr>
        <w:t>核酸专项经费的压缩不适于我站采供血业务工作发展的需要</w:t>
      </w:r>
      <w:r>
        <w:rPr>
          <w:rFonts w:hint="eastAsia" w:ascii="仿宋_GB2312" w:hAnsi="仿宋_GB2312" w:eastAsia="仿宋_GB2312" w:cs="仿宋_GB2312"/>
          <w:color w:val="auto"/>
          <w:kern w:val="0"/>
          <w:sz w:val="32"/>
          <w:szCs w:val="32"/>
          <w:lang w:eastAsia="zh-CN"/>
        </w:rPr>
        <w:t>。</w:t>
      </w:r>
      <w:r>
        <w:rPr>
          <w:rFonts w:ascii="Times New Roman" w:hAnsi="Times New Roman" w:eastAsia="仿宋_GB2312" w:cs="Times New Roman"/>
          <w:sz w:val="32"/>
          <w:szCs w:val="32"/>
        </w:rPr>
        <w:t>下一步改进措施：</w:t>
      </w:r>
      <w:r>
        <w:rPr>
          <w:rFonts w:hint="eastAsia" w:ascii="仿宋_GB2312" w:hAnsi="仿宋_GB2312" w:eastAsia="仿宋_GB2312" w:cs="仿宋_GB2312"/>
          <w:color w:val="auto"/>
          <w:kern w:val="0"/>
          <w:sz w:val="32"/>
          <w:szCs w:val="32"/>
          <w:lang w:val="en-US" w:eastAsia="zh-CN"/>
        </w:rPr>
        <w:t>一是</w:t>
      </w:r>
      <w:r>
        <w:rPr>
          <w:rFonts w:hint="eastAsia" w:ascii="仿宋_GB2312" w:hAnsi="仿宋_GB2312" w:eastAsia="仿宋_GB2312" w:cs="仿宋_GB2312"/>
          <w:color w:val="auto"/>
          <w:spacing w:val="-4"/>
          <w:sz w:val="32"/>
          <w:szCs w:val="32"/>
        </w:rPr>
        <w:t>组织好血站公众开放日</w:t>
      </w:r>
      <w:r>
        <w:rPr>
          <w:rFonts w:hint="eastAsia" w:ascii="仿宋_GB2312" w:hAnsi="仿宋_GB2312" w:eastAsia="仿宋_GB2312" w:cs="仿宋_GB2312"/>
          <w:color w:val="auto"/>
          <w:spacing w:val="-4"/>
          <w:sz w:val="32"/>
          <w:szCs w:val="32"/>
          <w:lang w:eastAsia="zh-CN"/>
        </w:rPr>
        <w:t>，</w:t>
      </w:r>
      <w:r>
        <w:rPr>
          <w:rFonts w:hint="eastAsia" w:ascii="仿宋_GB2312" w:hAnsi="仿宋_GB2312" w:eastAsia="仿宋_GB2312" w:cs="仿宋_GB2312"/>
          <w:color w:val="auto"/>
          <w:spacing w:val="-4"/>
          <w:sz w:val="32"/>
          <w:szCs w:val="32"/>
        </w:rPr>
        <w:t>提升无偿献血工作的社会公信度，进一步树强无偿献血志愿者服务公益品牌</w:t>
      </w:r>
      <w:r>
        <w:rPr>
          <w:rFonts w:hint="eastAsia" w:ascii="仿宋_GB2312" w:hAnsi="仿宋_GB2312" w:eastAsia="仿宋_GB2312" w:cs="仿宋_GB2312"/>
          <w:color w:val="auto"/>
          <w:spacing w:val="-4"/>
          <w:sz w:val="32"/>
          <w:szCs w:val="32"/>
          <w:lang w:eastAsia="zh-CN"/>
        </w:rPr>
        <w:t>；</w:t>
      </w:r>
      <w:r>
        <w:rPr>
          <w:rFonts w:hint="eastAsia" w:ascii="仿宋_GB2312" w:hAnsi="仿宋_GB2312" w:eastAsia="仿宋_GB2312" w:cs="仿宋_GB2312"/>
          <w:color w:val="auto"/>
          <w:spacing w:val="-4"/>
          <w:sz w:val="32"/>
          <w:szCs w:val="32"/>
          <w:lang w:val="en-US" w:eastAsia="zh-CN"/>
        </w:rPr>
        <w:t>二</w:t>
      </w:r>
      <w:r>
        <w:rPr>
          <w:rFonts w:hint="eastAsia" w:ascii="仿宋_GB2312" w:hAnsi="仿宋_GB2312" w:eastAsia="仿宋_GB2312" w:cs="仿宋_GB2312"/>
          <w:color w:val="auto"/>
          <w:kern w:val="0"/>
          <w:sz w:val="32"/>
          <w:szCs w:val="32"/>
          <w:lang w:val="en-US" w:eastAsia="zh-CN"/>
        </w:rPr>
        <w:t>是积极向上级主管部门和市财政部门争取</w:t>
      </w:r>
      <w:r>
        <w:rPr>
          <w:rFonts w:hint="eastAsia" w:ascii="仿宋_GB2312" w:hAnsi="仿宋_GB2312" w:eastAsia="仿宋_GB2312" w:cs="仿宋_GB2312"/>
          <w:color w:val="auto"/>
          <w:kern w:val="0"/>
          <w:sz w:val="32"/>
          <w:szCs w:val="32"/>
        </w:rPr>
        <w:t>资金</w:t>
      </w:r>
      <w:r>
        <w:rPr>
          <w:rFonts w:hint="eastAsia" w:ascii="仿宋_GB2312" w:hAnsi="仿宋_GB2312" w:eastAsia="仿宋_GB2312" w:cs="仿宋_GB2312"/>
          <w:color w:val="auto"/>
          <w:kern w:val="0"/>
          <w:sz w:val="32"/>
          <w:szCs w:val="32"/>
          <w:lang w:eastAsia="zh-CN"/>
        </w:rPr>
        <w:t>，</w:t>
      </w:r>
      <w:r>
        <w:rPr>
          <w:rFonts w:hint="eastAsia" w:ascii="仿宋_GB2312" w:hAnsi="仿宋_GB2312" w:eastAsia="仿宋_GB2312" w:cs="仿宋_GB2312"/>
          <w:color w:val="auto"/>
          <w:kern w:val="0"/>
          <w:sz w:val="32"/>
          <w:szCs w:val="32"/>
          <w:lang w:val="en-US" w:eastAsia="zh-CN"/>
        </w:rPr>
        <w:t>更新老化设备</w:t>
      </w:r>
      <w:r>
        <w:rPr>
          <w:rFonts w:hint="eastAsia" w:ascii="仿宋_GB2312" w:hAnsi="仿宋_GB2312" w:eastAsia="仿宋_GB2312" w:cs="仿宋_GB2312"/>
          <w:color w:val="auto"/>
          <w:kern w:val="0"/>
          <w:sz w:val="32"/>
          <w:szCs w:val="32"/>
          <w:lang w:eastAsia="zh-CN"/>
        </w:rPr>
        <w:t>；</w:t>
      </w:r>
      <w:r>
        <w:rPr>
          <w:rFonts w:hint="eastAsia" w:ascii="仿宋_GB2312" w:hAnsi="仿宋_GB2312" w:eastAsia="仿宋_GB2312" w:cs="仿宋_GB2312"/>
          <w:color w:val="auto"/>
          <w:sz w:val="32"/>
          <w:szCs w:val="40"/>
          <w:lang w:val="en-US" w:eastAsia="zh-CN"/>
        </w:rPr>
        <w:t>三是</w:t>
      </w:r>
      <w:r>
        <w:rPr>
          <w:rFonts w:hint="eastAsia" w:ascii="仿宋_GB2312" w:hAnsi="仿宋_GB2312" w:eastAsia="仿宋_GB2312" w:cs="仿宋_GB2312"/>
          <w:color w:val="auto"/>
          <w:kern w:val="0"/>
          <w:sz w:val="32"/>
          <w:szCs w:val="32"/>
          <w:lang w:val="en-US" w:eastAsia="zh-CN"/>
        </w:rPr>
        <w:t>向财政部门争取市本级</w:t>
      </w:r>
      <w:r>
        <w:rPr>
          <w:rFonts w:hint="eastAsia" w:ascii="仿宋_GB2312" w:hAnsi="仿宋_GB2312" w:eastAsia="仿宋_GB2312" w:cs="仿宋_GB2312"/>
          <w:color w:val="auto"/>
          <w:kern w:val="0"/>
          <w:sz w:val="32"/>
          <w:szCs w:val="32"/>
        </w:rPr>
        <w:t>核酸经费专项拨款资金</w:t>
      </w:r>
      <w:r>
        <w:rPr>
          <w:rFonts w:hint="eastAsia" w:ascii="仿宋_GB2312" w:hAnsi="仿宋_GB2312" w:eastAsia="仿宋_GB2312" w:cs="仿宋_GB2312"/>
          <w:color w:val="auto"/>
          <w:kern w:val="0"/>
          <w:sz w:val="32"/>
          <w:szCs w:val="32"/>
          <w:lang w:eastAsia="zh-CN"/>
        </w:rPr>
        <w:t>。</w:t>
      </w:r>
    </w:p>
    <w:p w14:paraId="25406EC7">
      <w:pPr>
        <w:overflowPunct w:val="0"/>
        <w:spacing w:line="600" w:lineRule="exact"/>
        <w:ind w:firstLine="640" w:firstLineChars="200"/>
        <w:rPr>
          <w:rFonts w:hint="eastAsia" w:ascii="Times New Roman" w:hAnsi="Times New Roman" w:eastAsia="仿宋_GB2312" w:cs="Times New Roman"/>
          <w:color w:val="auto"/>
          <w:kern w:val="0"/>
          <w:sz w:val="32"/>
          <w:szCs w:val="32"/>
          <w:lang w:val="en-US" w:eastAsia="zh-CN"/>
        </w:rPr>
      </w:pPr>
      <w:r>
        <w:rPr>
          <w:rFonts w:hint="eastAsia" w:ascii="Times New Roman" w:hAnsi="Times New Roman" w:eastAsia="仿宋_GB2312" w:cs="Times New Roman"/>
          <w:kern w:val="0"/>
          <w:sz w:val="32"/>
          <w:szCs w:val="32"/>
          <w:lang w:val="en-US" w:eastAsia="zh-CN"/>
        </w:rPr>
        <w:t>2.</w:t>
      </w:r>
      <w:r>
        <w:rPr>
          <w:rFonts w:ascii="Times New Roman" w:hAnsi="Times New Roman" w:eastAsia="仿宋_GB2312" w:cs="Times New Roman"/>
          <w:b/>
          <w:bCs/>
          <w:kern w:val="0"/>
          <w:sz w:val="32"/>
          <w:szCs w:val="32"/>
        </w:rPr>
        <w:t>部门评价结果</w:t>
      </w:r>
      <w:r>
        <w:rPr>
          <w:rFonts w:hint="eastAsia" w:ascii="Times New Roman" w:hAnsi="Times New Roman" w:eastAsia="仿宋_GB2312" w:cs="Times New Roman"/>
          <w:b/>
          <w:bCs/>
          <w:color w:val="auto"/>
          <w:kern w:val="0"/>
          <w:sz w:val="32"/>
          <w:szCs w:val="32"/>
          <w:lang w:eastAsia="zh-CN"/>
        </w:rPr>
        <w:t>。</w:t>
      </w:r>
      <w:r>
        <w:rPr>
          <w:rFonts w:hint="eastAsia" w:ascii="Times New Roman" w:hAnsi="Times New Roman" w:eastAsia="仿宋_GB2312" w:cs="Times New Roman"/>
          <w:color w:val="auto"/>
          <w:kern w:val="0"/>
          <w:sz w:val="32"/>
          <w:szCs w:val="32"/>
          <w:lang w:val="en-US" w:eastAsia="zh-CN"/>
        </w:rPr>
        <w:t>本单位为二级预算单位，部门评价结果可详见上级部门决算公开说明。</w:t>
      </w:r>
    </w:p>
    <w:p w14:paraId="594CEC69">
      <w:pPr>
        <w:overflowPunct w:val="0"/>
        <w:spacing w:line="600" w:lineRule="exact"/>
        <w:ind w:firstLine="640" w:firstLineChars="200"/>
        <w:rPr>
          <w:rFonts w:ascii="Times New Roman" w:hAnsi="Times New Roman" w:eastAsia="仿宋_GB2312" w:cs="Times New Roman"/>
          <w:color w:val="auto"/>
          <w:kern w:val="0"/>
          <w:sz w:val="32"/>
          <w:szCs w:val="32"/>
        </w:rPr>
      </w:pPr>
      <w:r>
        <w:rPr>
          <w:rFonts w:hint="eastAsia" w:ascii="Times New Roman" w:hAnsi="Times New Roman" w:eastAsia="仿宋_GB2312" w:cs="Times New Roman"/>
          <w:kern w:val="0"/>
          <w:sz w:val="32"/>
          <w:szCs w:val="32"/>
          <w:lang w:val="en-US" w:eastAsia="zh-CN"/>
        </w:rPr>
        <w:t>3.</w:t>
      </w:r>
      <w:r>
        <w:rPr>
          <w:rFonts w:hint="eastAsia" w:ascii="Times New Roman" w:hAnsi="Times New Roman" w:eastAsia="仿宋_GB2312" w:cs="Times New Roman"/>
          <w:b/>
          <w:bCs/>
          <w:kern w:val="0"/>
          <w:sz w:val="32"/>
          <w:szCs w:val="32"/>
          <w:highlight w:val="none"/>
          <w:lang w:val="en-US" w:eastAsia="zh-CN"/>
        </w:rPr>
        <w:t>事</w:t>
      </w:r>
      <w:r>
        <w:rPr>
          <w:rFonts w:ascii="Times New Roman" w:hAnsi="Times New Roman" w:eastAsia="仿宋_GB2312" w:cs="Times New Roman"/>
          <w:b/>
          <w:bCs/>
          <w:kern w:val="0"/>
          <w:sz w:val="32"/>
          <w:szCs w:val="32"/>
          <w:highlight w:val="none"/>
        </w:rPr>
        <w:t>前绩效评估结果。</w:t>
      </w:r>
      <w:r>
        <w:rPr>
          <w:rFonts w:hint="eastAsia" w:ascii="Times New Roman" w:hAnsi="Times New Roman" w:eastAsia="仿宋_GB2312" w:cs="Times New Roman"/>
          <w:color w:val="auto"/>
          <w:kern w:val="0"/>
          <w:sz w:val="32"/>
          <w:szCs w:val="32"/>
          <w:lang w:val="en-US" w:eastAsia="zh-CN"/>
        </w:rPr>
        <w:t>本单位为二级预算单位，事前绩效评估结果可详见上级部门决算公开说明。</w:t>
      </w:r>
    </w:p>
    <w:p w14:paraId="2C89E516">
      <w:pPr>
        <w:numPr>
          <w:ilvl w:val="0"/>
          <w:numId w:val="0"/>
        </w:numPr>
        <w:autoSpaceDE w:val="0"/>
        <w:autoSpaceDN w:val="0"/>
        <w:adjustRightInd w:val="0"/>
        <w:ind w:firstLine="640" w:firstLineChars="200"/>
        <w:jc w:val="left"/>
        <w:rPr>
          <w:rFonts w:ascii="Times New Roman" w:hAnsi="Times New Roman" w:eastAsia="楷体_GB2312" w:cs="Times New Roman"/>
          <w:b/>
          <w:bCs/>
          <w:color w:val="auto"/>
          <w:kern w:val="2"/>
          <w:sz w:val="32"/>
          <w:szCs w:val="32"/>
          <w:highlight w:val="none"/>
        </w:rPr>
      </w:pPr>
      <w:r>
        <w:rPr>
          <w:rFonts w:hint="eastAsia" w:ascii="Times New Roman" w:hAnsi="Times New Roman" w:eastAsia="楷体_GB2312" w:cs="Times New Roman"/>
          <w:b/>
          <w:bCs/>
          <w:color w:val="auto"/>
          <w:kern w:val="2"/>
          <w:sz w:val="32"/>
          <w:szCs w:val="32"/>
          <w:highlight w:val="none"/>
          <w:lang w:eastAsia="zh-CN"/>
        </w:rPr>
        <w:t>（</w:t>
      </w:r>
      <w:r>
        <w:rPr>
          <w:rFonts w:hint="eastAsia" w:ascii="Times New Roman" w:hAnsi="Times New Roman" w:eastAsia="楷体_GB2312" w:cs="Times New Roman"/>
          <w:b/>
          <w:bCs/>
          <w:color w:val="auto"/>
          <w:kern w:val="2"/>
          <w:sz w:val="32"/>
          <w:szCs w:val="32"/>
          <w:highlight w:val="none"/>
          <w:lang w:val="en-US" w:eastAsia="zh-CN"/>
        </w:rPr>
        <w:t>三</w:t>
      </w:r>
      <w:r>
        <w:rPr>
          <w:rFonts w:hint="eastAsia" w:ascii="Times New Roman" w:hAnsi="Times New Roman" w:eastAsia="楷体_GB2312" w:cs="Times New Roman"/>
          <w:b/>
          <w:bCs/>
          <w:color w:val="auto"/>
          <w:kern w:val="2"/>
          <w:sz w:val="32"/>
          <w:szCs w:val="32"/>
          <w:highlight w:val="none"/>
          <w:lang w:eastAsia="zh-CN"/>
        </w:rPr>
        <w:t>）</w:t>
      </w:r>
      <w:r>
        <w:rPr>
          <w:rFonts w:ascii="Times New Roman" w:hAnsi="Times New Roman" w:eastAsia="楷体_GB2312" w:cs="Times New Roman"/>
          <w:b/>
          <w:bCs/>
          <w:color w:val="auto"/>
          <w:kern w:val="2"/>
          <w:sz w:val="32"/>
          <w:szCs w:val="32"/>
          <w:highlight w:val="none"/>
        </w:rPr>
        <w:t>评价结果应用情况</w:t>
      </w:r>
    </w:p>
    <w:p w14:paraId="2E1CBAA7">
      <w:pPr>
        <w:numPr>
          <w:ilvl w:val="0"/>
          <w:numId w:val="0"/>
        </w:numPr>
        <w:autoSpaceDE w:val="0"/>
        <w:autoSpaceDN w:val="0"/>
        <w:adjustRightInd w:val="0"/>
        <w:ind w:firstLine="624" w:firstLineChars="200"/>
        <w:jc w:val="left"/>
        <w:rPr>
          <w:rFonts w:ascii="Times New Roman" w:hAnsi="Times New Roman" w:eastAsia="仿宋_GB2312" w:cs="Times New Roman"/>
          <w:color w:val="auto"/>
          <w:sz w:val="32"/>
          <w:szCs w:val="32"/>
          <w:highlight w:val="none"/>
        </w:rPr>
      </w:pPr>
      <w:r>
        <w:rPr>
          <w:rFonts w:hint="eastAsia" w:ascii="仿宋_GB2312" w:hAnsi="仿宋_GB2312" w:eastAsia="仿宋_GB2312" w:cs="仿宋_GB2312"/>
          <w:color w:val="auto"/>
          <w:spacing w:val="-4"/>
          <w:sz w:val="32"/>
          <w:szCs w:val="32"/>
        </w:rPr>
        <w:t>用好</w:t>
      </w:r>
      <w:r>
        <w:rPr>
          <w:rFonts w:hint="eastAsia" w:ascii="仿宋_GB2312" w:hAnsi="仿宋_GB2312" w:eastAsia="仿宋_GB2312" w:cs="仿宋_GB2312"/>
          <w:color w:val="auto"/>
          <w:spacing w:val="-4"/>
          <w:sz w:val="32"/>
          <w:szCs w:val="32"/>
          <w:lang w:val="en-US" w:eastAsia="zh-CN"/>
        </w:rPr>
        <w:t>部门整体</w:t>
      </w:r>
      <w:r>
        <w:rPr>
          <w:rFonts w:hint="eastAsia" w:ascii="仿宋_GB2312" w:hAnsi="仿宋_GB2312" w:eastAsia="仿宋_GB2312" w:cs="仿宋_GB2312"/>
          <w:color w:val="auto"/>
          <w:spacing w:val="-4"/>
          <w:sz w:val="32"/>
          <w:szCs w:val="32"/>
        </w:rPr>
        <w:t>绩效</w:t>
      </w:r>
      <w:r>
        <w:rPr>
          <w:rFonts w:hint="eastAsia" w:ascii="仿宋_GB2312" w:hAnsi="仿宋_GB2312" w:eastAsia="仿宋_GB2312" w:cs="仿宋_GB2312"/>
          <w:color w:val="auto"/>
          <w:spacing w:val="-4"/>
          <w:sz w:val="32"/>
          <w:szCs w:val="32"/>
          <w:lang w:val="en-US" w:eastAsia="zh-CN"/>
        </w:rPr>
        <w:t>自评结果，根据相关数据</w:t>
      </w:r>
      <w:r>
        <w:rPr>
          <w:rFonts w:hint="eastAsia" w:ascii="仿宋_GB2312" w:hAnsi="仿宋_GB2312" w:eastAsia="仿宋_GB2312" w:cs="仿宋_GB2312"/>
          <w:color w:val="auto"/>
          <w:spacing w:val="-4"/>
          <w:sz w:val="32"/>
          <w:szCs w:val="32"/>
        </w:rPr>
        <w:t>把握医疗服务和业务质量两个重点，改善采供血服务水平，提升临床科学合理用血水平</w:t>
      </w:r>
      <w:r>
        <w:rPr>
          <w:rFonts w:hint="eastAsia" w:ascii="仿宋_GB2312" w:hAnsi="仿宋_GB2312" w:eastAsia="仿宋_GB2312" w:cs="仿宋_GB2312"/>
          <w:color w:val="auto"/>
          <w:spacing w:val="-4"/>
          <w:sz w:val="32"/>
          <w:szCs w:val="32"/>
          <w:lang w:eastAsia="zh-CN"/>
        </w:rPr>
        <w:t>，</w:t>
      </w:r>
      <w:r>
        <w:rPr>
          <w:rFonts w:hint="eastAsia" w:ascii="仿宋_GB2312" w:hAnsi="仿宋_GB2312" w:eastAsia="仿宋_GB2312" w:cs="仿宋_GB2312"/>
          <w:color w:val="auto"/>
          <w:spacing w:val="-4"/>
          <w:sz w:val="32"/>
          <w:szCs w:val="32"/>
          <w:lang w:val="en-US" w:eastAsia="zh-CN"/>
        </w:rPr>
        <w:t>保障临床用血安全。</w:t>
      </w:r>
    </w:p>
    <w:p w14:paraId="5E8AD5A5">
      <w:pPr>
        <w:autoSpaceDE w:val="0"/>
        <w:autoSpaceDN w:val="0"/>
        <w:adjustRightInd w:val="0"/>
        <w:ind w:firstLine="640" w:firstLineChars="200"/>
        <w:jc w:val="left"/>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预算绩效管理开展情况、绩效目标和绩效评价报告等，已在市政府部门财政预决算公开平台上向社会公开，详见附件。</w:t>
      </w:r>
    </w:p>
    <w:p w14:paraId="62BEA247">
      <w:pPr>
        <w:pStyle w:val="6"/>
        <w:rPr>
          <w:rFonts w:hint="eastAsia"/>
          <w:lang w:val="en-US" w:eastAsia="zh-CN"/>
        </w:rPr>
      </w:pPr>
    </w:p>
    <w:p w14:paraId="47586AB8">
      <w:pPr>
        <w:numPr>
          <w:ilvl w:val="0"/>
          <w:numId w:val="0"/>
        </w:numPr>
        <w:autoSpaceDE w:val="0"/>
        <w:autoSpaceDN w:val="0"/>
        <w:adjustRightInd w:val="0"/>
        <w:jc w:val="left"/>
        <w:rPr>
          <w:rFonts w:hint="eastAsia" w:ascii="楷体" w:hAnsi="楷体" w:eastAsia="楷体" w:cs="楷体"/>
          <w:b/>
          <w:bCs/>
          <w:i w:val="0"/>
          <w:iCs w:val="0"/>
          <w:color w:val="FF0000"/>
          <w:kern w:val="0"/>
          <w:sz w:val="36"/>
          <w:szCs w:val="36"/>
          <w:lang w:val="en-US" w:eastAsia="zh-CN"/>
        </w:rPr>
      </w:pPr>
    </w:p>
    <w:p w14:paraId="4C1E0126">
      <w:pPr>
        <w:numPr>
          <w:ilvl w:val="0"/>
          <w:numId w:val="0"/>
        </w:numPr>
        <w:autoSpaceDE w:val="0"/>
        <w:autoSpaceDN w:val="0"/>
        <w:adjustRightInd w:val="0"/>
        <w:jc w:val="left"/>
        <w:rPr>
          <w:rFonts w:hint="eastAsia" w:ascii="楷体" w:hAnsi="楷体" w:eastAsia="楷体" w:cs="楷体"/>
          <w:b/>
          <w:bCs/>
          <w:i w:val="0"/>
          <w:iCs w:val="0"/>
          <w:color w:val="FF0000"/>
          <w:kern w:val="0"/>
          <w:sz w:val="36"/>
          <w:szCs w:val="36"/>
          <w:lang w:val="en-US" w:eastAsia="zh-CN"/>
        </w:rPr>
      </w:pPr>
    </w:p>
    <w:p w14:paraId="52710C4E">
      <w:pPr>
        <w:numPr>
          <w:ilvl w:val="0"/>
          <w:numId w:val="0"/>
        </w:numPr>
        <w:autoSpaceDE w:val="0"/>
        <w:autoSpaceDN w:val="0"/>
        <w:adjustRightInd w:val="0"/>
        <w:jc w:val="left"/>
        <w:rPr>
          <w:rFonts w:hint="eastAsia" w:ascii="楷体" w:hAnsi="楷体" w:eastAsia="楷体" w:cs="楷体"/>
          <w:b/>
          <w:bCs/>
          <w:i w:val="0"/>
          <w:iCs w:val="0"/>
          <w:color w:val="FF0000"/>
          <w:kern w:val="0"/>
          <w:sz w:val="36"/>
          <w:szCs w:val="36"/>
          <w:lang w:val="en-US" w:eastAsia="zh-CN"/>
        </w:rPr>
      </w:pPr>
    </w:p>
    <w:p w14:paraId="1962B3C8">
      <w:pPr>
        <w:numPr>
          <w:ilvl w:val="0"/>
          <w:numId w:val="0"/>
        </w:numPr>
        <w:autoSpaceDE w:val="0"/>
        <w:autoSpaceDN w:val="0"/>
        <w:adjustRightInd w:val="0"/>
        <w:jc w:val="left"/>
        <w:rPr>
          <w:rFonts w:hint="eastAsia" w:ascii="楷体" w:hAnsi="楷体" w:eastAsia="楷体" w:cs="楷体"/>
          <w:b/>
          <w:bCs/>
          <w:i w:val="0"/>
          <w:iCs w:val="0"/>
          <w:color w:val="FF0000"/>
          <w:kern w:val="0"/>
          <w:sz w:val="36"/>
          <w:szCs w:val="36"/>
          <w:lang w:val="en-US" w:eastAsia="zh-CN"/>
        </w:rPr>
      </w:pPr>
    </w:p>
    <w:p w14:paraId="4AA97B0D">
      <w:pPr>
        <w:numPr>
          <w:ilvl w:val="0"/>
          <w:numId w:val="0"/>
        </w:numPr>
        <w:autoSpaceDE w:val="0"/>
        <w:autoSpaceDN w:val="0"/>
        <w:adjustRightInd w:val="0"/>
        <w:jc w:val="left"/>
        <w:rPr>
          <w:rFonts w:hint="eastAsia" w:ascii="楷体" w:hAnsi="楷体" w:eastAsia="楷体" w:cs="楷体"/>
          <w:b/>
          <w:bCs/>
          <w:i w:val="0"/>
          <w:iCs w:val="0"/>
          <w:color w:val="FF0000"/>
          <w:kern w:val="0"/>
          <w:sz w:val="36"/>
          <w:szCs w:val="36"/>
          <w:lang w:val="en-US" w:eastAsia="zh-CN"/>
        </w:rPr>
      </w:pPr>
    </w:p>
    <w:p w14:paraId="424C99EA">
      <w:pPr>
        <w:numPr>
          <w:ilvl w:val="0"/>
          <w:numId w:val="0"/>
        </w:numPr>
        <w:autoSpaceDE w:val="0"/>
        <w:autoSpaceDN w:val="0"/>
        <w:adjustRightInd w:val="0"/>
        <w:jc w:val="left"/>
        <w:rPr>
          <w:rFonts w:hint="eastAsia" w:ascii="楷体" w:hAnsi="楷体" w:eastAsia="楷体" w:cs="楷体"/>
          <w:b/>
          <w:bCs/>
          <w:i w:val="0"/>
          <w:iCs w:val="0"/>
          <w:color w:val="FF0000"/>
          <w:kern w:val="0"/>
          <w:sz w:val="36"/>
          <w:szCs w:val="36"/>
          <w:lang w:val="en-US" w:eastAsia="zh-CN"/>
        </w:rPr>
      </w:pPr>
    </w:p>
    <w:p w14:paraId="14B4736E">
      <w:pPr>
        <w:numPr>
          <w:ilvl w:val="0"/>
          <w:numId w:val="0"/>
        </w:numPr>
        <w:autoSpaceDE w:val="0"/>
        <w:autoSpaceDN w:val="0"/>
        <w:adjustRightInd w:val="0"/>
        <w:jc w:val="left"/>
        <w:rPr>
          <w:rFonts w:hint="eastAsia" w:ascii="楷体" w:hAnsi="楷体" w:eastAsia="楷体" w:cs="楷体"/>
          <w:b/>
          <w:bCs/>
          <w:i w:val="0"/>
          <w:iCs w:val="0"/>
          <w:color w:val="FF0000"/>
          <w:kern w:val="0"/>
          <w:sz w:val="36"/>
          <w:szCs w:val="36"/>
          <w:lang w:val="en-US" w:eastAsia="zh-CN"/>
        </w:rPr>
      </w:pPr>
    </w:p>
    <w:p w14:paraId="6A5A782C">
      <w:pPr>
        <w:pStyle w:val="14"/>
        <w:jc w:val="center"/>
        <w:rPr>
          <w:rFonts w:hint="eastAsia" w:ascii="方正小标宋_GBK" w:hAnsi="方正小标宋_GBK" w:eastAsia="方正小标宋_GBK" w:cs="方正小标宋_GBK"/>
          <w:sz w:val="72"/>
          <w:szCs w:val="72"/>
        </w:rPr>
      </w:pPr>
      <w:bookmarkStart w:id="0" w:name="_GoBack"/>
      <w:r>
        <w:rPr>
          <w:rFonts w:hint="eastAsia" w:ascii="方正小标宋_GBK" w:hAnsi="方正小标宋_GBK" w:eastAsia="方正小标宋_GBK" w:cs="方正小标宋_GBK"/>
          <w:sz w:val="72"/>
          <w:szCs w:val="72"/>
        </w:rPr>
        <w:t>第四部分</w:t>
      </w:r>
      <w:bookmarkEnd w:id="0"/>
    </w:p>
    <w:p w14:paraId="2DDD6447">
      <w:pPr>
        <w:jc w:val="center"/>
        <w:rPr>
          <w:rFonts w:hint="eastAsia" w:ascii="方正小标宋_GBK" w:hAnsi="方正小标宋_GBK" w:eastAsia="方正小标宋_GBK" w:cs="方正小标宋_GBK"/>
          <w:color w:val="000000"/>
          <w:kern w:val="0"/>
          <w:sz w:val="70"/>
          <w:szCs w:val="70"/>
        </w:rPr>
      </w:pPr>
    </w:p>
    <w:p w14:paraId="41992F86">
      <w:pPr>
        <w:pStyle w:val="14"/>
        <w:jc w:val="center"/>
        <w:rPr>
          <w:rFonts w:hint="eastAsia" w:ascii="方正小标宋_GBK" w:hAnsi="方正小标宋_GBK" w:eastAsia="方正小标宋_GBK" w:cs="方正小标宋_GBK"/>
          <w:sz w:val="70"/>
          <w:szCs w:val="70"/>
          <w:lang w:eastAsia="zh-CN"/>
        </w:rPr>
      </w:pPr>
      <w:r>
        <w:rPr>
          <w:rFonts w:hint="eastAsia" w:ascii="方正小标宋_GBK" w:hAnsi="方正小标宋_GBK" w:eastAsia="方正小标宋_GBK" w:cs="方正小标宋_GBK"/>
          <w:color w:val="000000"/>
          <w:kern w:val="0"/>
          <w:sz w:val="70"/>
          <w:szCs w:val="70"/>
        </w:rPr>
        <w:t>名词解释</w:t>
      </w:r>
    </w:p>
    <w:p w14:paraId="571298D0">
      <w:pPr>
        <w:pStyle w:val="6"/>
      </w:pPr>
    </w:p>
    <w:p w14:paraId="5331F884">
      <w:pPr>
        <w:pStyle w:val="7"/>
      </w:pPr>
    </w:p>
    <w:p w14:paraId="2CCAD852"/>
    <w:p w14:paraId="440E89DF">
      <w:pPr>
        <w:pStyle w:val="6"/>
      </w:pPr>
    </w:p>
    <w:p w14:paraId="645B9B76">
      <w:pPr>
        <w:pStyle w:val="7"/>
      </w:pPr>
    </w:p>
    <w:p w14:paraId="539F25AC"/>
    <w:p w14:paraId="47AFAB8F">
      <w:pPr>
        <w:pStyle w:val="6"/>
      </w:pPr>
    </w:p>
    <w:p w14:paraId="479D6353">
      <w:pPr>
        <w:pStyle w:val="7"/>
      </w:pPr>
    </w:p>
    <w:p w14:paraId="648103ED"/>
    <w:p w14:paraId="08A5EA8F">
      <w:pPr>
        <w:pStyle w:val="6"/>
      </w:pPr>
    </w:p>
    <w:p w14:paraId="3FD0BAB6">
      <w:pPr>
        <w:pStyle w:val="7"/>
      </w:pPr>
    </w:p>
    <w:p w14:paraId="1CAE18D7"/>
    <w:p w14:paraId="5994BDDC">
      <w:pPr>
        <w:pStyle w:val="6"/>
      </w:pPr>
    </w:p>
    <w:p w14:paraId="51F60F8D">
      <w:pPr>
        <w:pStyle w:val="7"/>
      </w:pPr>
    </w:p>
    <w:p w14:paraId="715B8195"/>
    <w:p w14:paraId="3F608935">
      <w:pPr>
        <w:pStyle w:val="6"/>
      </w:pPr>
    </w:p>
    <w:p w14:paraId="274FE3C9">
      <w:pPr>
        <w:ind w:firstLine="640" w:firstLineChars="200"/>
        <w:jc w:val="left"/>
        <w:rPr>
          <w:rFonts w:hint="eastAsia" w:ascii="仿宋_GB2312" w:hAnsi="仿宋_GB2312" w:eastAsia="仿宋_GB2312" w:cs="仿宋_GB2312"/>
          <w:color w:val="000000"/>
          <w:kern w:val="0"/>
          <w:sz w:val="32"/>
          <w:szCs w:val="32"/>
        </w:rPr>
      </w:pPr>
    </w:p>
    <w:p w14:paraId="1741E604">
      <w:pPr>
        <w:ind w:firstLine="640" w:firstLineChars="200"/>
        <w:jc w:val="left"/>
        <w:rPr>
          <w:rFonts w:hint="eastAsia" w:ascii="仿宋_GB2312" w:hAnsi="仿宋_GB2312" w:eastAsia="仿宋_GB2312" w:cs="仿宋_GB2312"/>
          <w:color w:val="000000"/>
          <w:kern w:val="0"/>
          <w:sz w:val="32"/>
          <w:szCs w:val="32"/>
        </w:rPr>
      </w:pPr>
    </w:p>
    <w:p w14:paraId="02E59030">
      <w:pPr>
        <w:ind w:firstLine="640" w:firstLineChars="200"/>
        <w:jc w:val="left"/>
        <w:rPr>
          <w:rFonts w:hint="eastAsia" w:ascii="仿宋_GB2312" w:hAnsi="仿宋_GB2312" w:eastAsia="仿宋_GB2312" w:cs="仿宋_GB2312"/>
          <w:color w:val="000000"/>
          <w:kern w:val="0"/>
          <w:sz w:val="32"/>
          <w:szCs w:val="32"/>
        </w:rPr>
      </w:pPr>
    </w:p>
    <w:p w14:paraId="61CE71B9">
      <w:pPr>
        <w:pStyle w:val="6"/>
        <w:rPr>
          <w:rFonts w:hint="eastAsia"/>
        </w:rPr>
      </w:pPr>
    </w:p>
    <w:p w14:paraId="793F6BC2">
      <w:pPr>
        <w:ind w:firstLine="640" w:firstLineChars="200"/>
        <w:jc w:val="left"/>
        <w:rPr>
          <w:rFonts w:hint="eastAsia" w:ascii="仿宋_GB2312" w:hAnsi="仿宋_GB2312" w:eastAsia="仿宋_GB2312" w:cs="仿宋_GB2312"/>
          <w:color w:val="000000"/>
          <w:kern w:val="0"/>
          <w:sz w:val="32"/>
          <w:szCs w:val="32"/>
        </w:rPr>
      </w:pPr>
    </w:p>
    <w:p w14:paraId="754BC716">
      <w:pPr>
        <w:ind w:firstLine="640" w:firstLineChars="200"/>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一、“三公”经费：指用财政拨款安排的因公出国（境）费、公务用车购置及运行费和公务接待费。其中，因公出国（境）费反映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14:paraId="575346AC">
      <w:pPr>
        <w:ind w:firstLine="640" w:firstLineChars="200"/>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二、机关运行经费</w:t>
      </w:r>
      <w:r>
        <w:rPr>
          <w:rFonts w:hint="eastAsia" w:ascii="仿宋_GB2312" w:hAnsi="仿宋_GB2312" w:eastAsia="仿宋_GB2312" w:cs="仿宋_GB2312"/>
          <w:color w:val="000000"/>
          <w:kern w:val="0"/>
          <w:sz w:val="32"/>
          <w:szCs w:val="32"/>
          <w:lang w:eastAsia="zh-CN"/>
        </w:rPr>
        <w:t>，指为保障行政单位（包括参照公务员法管理的事业单位）运行用于购买货物和服务的各项资金</w:t>
      </w:r>
      <w:r>
        <w:rPr>
          <w:rFonts w:hint="eastAsia" w:ascii="仿宋_GB2312" w:hAnsi="仿宋_GB2312" w:eastAsia="仿宋_GB2312" w:cs="仿宋_GB2312"/>
          <w:color w:val="000000"/>
          <w:kern w:val="0"/>
          <w:sz w:val="32"/>
          <w:szCs w:val="32"/>
        </w:rPr>
        <w:t>，包括办公</w:t>
      </w:r>
      <w:r>
        <w:rPr>
          <w:rFonts w:hint="eastAsia" w:ascii="仿宋_GB2312" w:hAnsi="仿宋_GB2312" w:eastAsia="仿宋_GB2312" w:cs="仿宋_GB2312"/>
          <w:color w:val="000000"/>
          <w:kern w:val="0"/>
          <w:sz w:val="32"/>
          <w:szCs w:val="32"/>
          <w:lang w:eastAsia="zh-CN"/>
        </w:rPr>
        <w:t>费、</w:t>
      </w:r>
      <w:r>
        <w:rPr>
          <w:rFonts w:hint="eastAsia" w:ascii="仿宋_GB2312" w:hAnsi="仿宋_GB2312" w:eastAsia="仿宋_GB2312" w:cs="仿宋_GB2312"/>
          <w:color w:val="000000"/>
          <w:kern w:val="0"/>
          <w:sz w:val="32"/>
          <w:szCs w:val="32"/>
        </w:rPr>
        <w:t>印刷费、邮电费、差旅费、会议费、日常维修费、专用材料及一般设备购置费、办公用房水电费、办公用房取暖费、办公用房物业管理费、公务用车运行维护费以及其他费用。</w:t>
      </w:r>
    </w:p>
    <w:p w14:paraId="2AE81CE8">
      <w:pPr>
        <w:pStyle w:val="14"/>
        <w:jc w:val="center"/>
        <w:rPr>
          <w:rFonts w:hint="eastAsia" w:ascii="仿宋_GB2312" w:hAnsi="仿宋_GB2312" w:eastAsia="仿宋_GB2312" w:cs="仿宋_GB2312"/>
          <w:sz w:val="32"/>
          <w:szCs w:val="32"/>
        </w:rPr>
      </w:pPr>
    </w:p>
    <w:p w14:paraId="1D47518A">
      <w:pPr>
        <w:pStyle w:val="7"/>
      </w:pPr>
    </w:p>
    <w:p w14:paraId="580CF8E4"/>
    <w:p w14:paraId="0C17744C">
      <w:pPr>
        <w:pStyle w:val="6"/>
      </w:pPr>
    </w:p>
    <w:p w14:paraId="7B8BABF4">
      <w:pPr>
        <w:pStyle w:val="7"/>
      </w:pPr>
    </w:p>
    <w:p w14:paraId="1942C0DC"/>
    <w:p w14:paraId="6E2D1EEF">
      <w:pPr>
        <w:pStyle w:val="6"/>
      </w:pPr>
    </w:p>
    <w:p w14:paraId="5F6ABC3B">
      <w:pPr>
        <w:pStyle w:val="7"/>
      </w:pPr>
    </w:p>
    <w:p w14:paraId="51BE6437"/>
    <w:p w14:paraId="05344CBA">
      <w:pPr>
        <w:pStyle w:val="6"/>
      </w:pPr>
    </w:p>
    <w:p w14:paraId="5C9170AD">
      <w:pPr>
        <w:pStyle w:val="7"/>
      </w:pPr>
    </w:p>
    <w:p w14:paraId="29D3A91E"/>
    <w:p w14:paraId="0D2A994E">
      <w:pPr>
        <w:pStyle w:val="6"/>
      </w:pPr>
    </w:p>
    <w:p w14:paraId="59CBCCA7">
      <w:pPr>
        <w:pStyle w:val="7"/>
      </w:pPr>
    </w:p>
    <w:p w14:paraId="67806EBD"/>
    <w:p w14:paraId="7C18BB03">
      <w:pPr>
        <w:pStyle w:val="6"/>
      </w:pPr>
    </w:p>
    <w:p w14:paraId="29230CAD">
      <w:pPr>
        <w:pStyle w:val="7"/>
      </w:pPr>
    </w:p>
    <w:p w14:paraId="724E0A54"/>
    <w:p w14:paraId="496F732E">
      <w:pPr>
        <w:pStyle w:val="6"/>
      </w:pPr>
    </w:p>
    <w:p w14:paraId="354ECFD8">
      <w:pPr>
        <w:pStyle w:val="7"/>
      </w:pPr>
    </w:p>
    <w:p w14:paraId="51C67B38"/>
    <w:p w14:paraId="4D131F3E"/>
    <w:p w14:paraId="7CFBCE3C">
      <w:pPr>
        <w:pStyle w:val="6"/>
      </w:pPr>
    </w:p>
    <w:p w14:paraId="5C3DE094">
      <w:pPr>
        <w:pStyle w:val="14"/>
        <w:jc w:val="both"/>
        <w:rPr>
          <w:rFonts w:hint="eastAsia" w:ascii="方正小标宋_GBK" w:hAnsi="方正小标宋_GBK" w:eastAsia="方正小标宋_GBK" w:cs="方正小标宋_GBK"/>
          <w:sz w:val="72"/>
          <w:szCs w:val="72"/>
        </w:rPr>
      </w:pPr>
    </w:p>
    <w:p w14:paraId="426A2F43">
      <w:pPr>
        <w:pStyle w:val="14"/>
        <w:jc w:val="center"/>
        <w:rPr>
          <w:rFonts w:hint="eastAsia" w:ascii="方正小标宋_GBK" w:hAnsi="方正小标宋_GBK" w:eastAsia="方正小标宋_GBK" w:cs="方正小标宋_GBK"/>
          <w:sz w:val="72"/>
          <w:szCs w:val="72"/>
        </w:rPr>
      </w:pPr>
    </w:p>
    <w:p w14:paraId="075474E5">
      <w:pPr>
        <w:pStyle w:val="14"/>
        <w:jc w:val="center"/>
        <w:rPr>
          <w:rFonts w:hint="eastAsia" w:ascii="方正小标宋_GBK" w:hAnsi="方正小标宋_GBK" w:eastAsia="方正小标宋_GBK" w:cs="方正小标宋_GBK"/>
          <w:sz w:val="72"/>
          <w:szCs w:val="72"/>
        </w:rPr>
      </w:pPr>
    </w:p>
    <w:p w14:paraId="0C1858E3">
      <w:pPr>
        <w:pStyle w:val="14"/>
        <w:jc w:val="center"/>
        <w:rPr>
          <w:rFonts w:hint="eastAsia" w:ascii="方正小标宋_GBK" w:hAnsi="方正小标宋_GBK" w:eastAsia="方正小标宋_GBK" w:cs="方正小标宋_GBK"/>
          <w:sz w:val="70"/>
          <w:szCs w:val="70"/>
        </w:rPr>
      </w:pPr>
      <w:r>
        <w:rPr>
          <w:rFonts w:hint="eastAsia" w:ascii="方正小标宋_GBK" w:hAnsi="方正小标宋_GBK" w:eastAsia="方正小标宋_GBK" w:cs="方正小标宋_GBK"/>
          <w:sz w:val="72"/>
          <w:szCs w:val="72"/>
        </w:rPr>
        <w:t>第</w:t>
      </w:r>
      <w:r>
        <w:rPr>
          <w:rFonts w:hint="eastAsia" w:ascii="方正小标宋_GBK" w:hAnsi="方正小标宋_GBK" w:eastAsia="方正小标宋_GBK" w:cs="方正小标宋_GBK"/>
          <w:sz w:val="72"/>
          <w:szCs w:val="72"/>
          <w:lang w:eastAsia="zh-CN"/>
        </w:rPr>
        <w:t>五</w:t>
      </w:r>
      <w:r>
        <w:rPr>
          <w:rFonts w:hint="eastAsia" w:ascii="方正小标宋_GBK" w:hAnsi="方正小标宋_GBK" w:eastAsia="方正小标宋_GBK" w:cs="方正小标宋_GBK"/>
          <w:sz w:val="72"/>
          <w:szCs w:val="72"/>
        </w:rPr>
        <w:t>部分</w:t>
      </w:r>
    </w:p>
    <w:p w14:paraId="592BF6CA">
      <w:pPr>
        <w:pStyle w:val="14"/>
        <w:jc w:val="both"/>
        <w:rPr>
          <w:rFonts w:hint="eastAsia" w:ascii="方正小标宋_GBK" w:hAnsi="方正小标宋_GBK" w:eastAsia="方正小标宋_GBK" w:cs="方正小标宋_GBK"/>
          <w:sz w:val="70"/>
          <w:szCs w:val="70"/>
          <w:lang w:eastAsia="zh-CN"/>
        </w:rPr>
      </w:pPr>
    </w:p>
    <w:p w14:paraId="490142D3">
      <w:pPr>
        <w:pStyle w:val="14"/>
        <w:jc w:val="center"/>
        <w:rPr>
          <w:rFonts w:hint="eastAsia" w:ascii="方正小标宋_GBK" w:hAnsi="方正小标宋_GBK" w:eastAsia="方正小标宋_GBK" w:cs="方正小标宋_GBK"/>
          <w:sz w:val="70"/>
          <w:szCs w:val="70"/>
          <w:lang w:eastAsia="zh-CN"/>
        </w:rPr>
      </w:pPr>
      <w:r>
        <w:rPr>
          <w:rFonts w:hint="eastAsia" w:ascii="方正小标宋_GBK" w:hAnsi="方正小标宋_GBK" w:eastAsia="方正小标宋_GBK" w:cs="方正小标宋_GBK"/>
          <w:sz w:val="70"/>
          <w:szCs w:val="70"/>
          <w:lang w:eastAsia="zh-CN"/>
        </w:rPr>
        <w:t>附</w:t>
      </w:r>
      <w:r>
        <w:rPr>
          <w:rFonts w:hint="eastAsia" w:ascii="方正小标宋_GBK" w:hAnsi="方正小标宋_GBK" w:eastAsia="方正小标宋_GBK" w:cs="方正小标宋_GBK"/>
          <w:sz w:val="70"/>
          <w:szCs w:val="70"/>
          <w:lang w:val="en-US" w:eastAsia="zh-CN"/>
        </w:rPr>
        <w:t xml:space="preserve"> </w:t>
      </w:r>
      <w:r>
        <w:rPr>
          <w:rFonts w:hint="eastAsia" w:ascii="方正小标宋_GBK" w:hAnsi="方正小标宋_GBK" w:eastAsia="方正小标宋_GBK" w:cs="方正小标宋_GBK"/>
          <w:sz w:val="70"/>
          <w:szCs w:val="70"/>
          <w:lang w:eastAsia="zh-CN"/>
        </w:rPr>
        <w:t>件</w:t>
      </w:r>
    </w:p>
    <w:p w14:paraId="3243C04E">
      <w:pPr>
        <w:ind w:firstLine="640" w:firstLineChars="200"/>
        <w:jc w:val="left"/>
        <w:rPr>
          <w:rFonts w:hint="eastAsia" w:ascii="宋体" w:hAnsi="宋体" w:eastAsia="宋体" w:cs="黑体"/>
          <w:b/>
          <w:color w:val="000000"/>
          <w:kern w:val="0"/>
          <w:sz w:val="32"/>
          <w:szCs w:val="32"/>
          <w:lang w:val="en-US" w:eastAsia="zh-CN"/>
        </w:rPr>
      </w:pPr>
    </w:p>
    <w:p w14:paraId="4EAC9354">
      <w:pPr>
        <w:ind w:firstLine="640" w:firstLineChars="200"/>
        <w:jc w:val="left"/>
        <w:rPr>
          <w:rFonts w:hint="eastAsia" w:ascii="宋体" w:hAnsi="宋体" w:eastAsia="宋体" w:cs="黑体"/>
          <w:b/>
          <w:color w:val="000000"/>
          <w:kern w:val="0"/>
          <w:sz w:val="32"/>
          <w:szCs w:val="32"/>
          <w:lang w:val="en-US" w:eastAsia="zh-CN"/>
        </w:rPr>
      </w:pPr>
      <w:r>
        <w:rPr>
          <w:rFonts w:hint="eastAsia" w:ascii="宋体" w:hAnsi="宋体" w:eastAsia="宋体" w:cs="黑体"/>
          <w:b/>
          <w:color w:val="000000"/>
          <w:kern w:val="0"/>
          <w:sz w:val="32"/>
          <w:szCs w:val="32"/>
          <w:lang w:val="en-US" w:eastAsia="zh-CN"/>
        </w:rPr>
        <w:t>1、</w:t>
      </w:r>
      <w:r>
        <w:rPr>
          <w:rFonts w:hint="eastAsia" w:ascii="宋体" w:hAnsi="宋体" w:eastAsia="宋体" w:cs="黑体"/>
          <w:b/>
          <w:color w:val="000000"/>
          <w:kern w:val="0"/>
          <w:sz w:val="32"/>
          <w:szCs w:val="32"/>
          <w:highlight w:val="none"/>
          <w:lang w:val="en-US" w:eastAsia="zh-CN"/>
        </w:rPr>
        <w:t>2024</w:t>
      </w:r>
      <w:r>
        <w:rPr>
          <w:rFonts w:hint="eastAsia" w:ascii="宋体" w:hAnsi="宋体" w:eastAsia="宋体" w:cs="黑体"/>
          <w:b/>
          <w:color w:val="000000"/>
          <w:kern w:val="0"/>
          <w:sz w:val="32"/>
          <w:szCs w:val="32"/>
          <w:lang w:val="en-US" w:eastAsia="zh-CN"/>
        </w:rPr>
        <w:t>年部门决算公开表格</w:t>
      </w:r>
    </w:p>
    <w:p w14:paraId="27E2EE8B">
      <w:pPr>
        <w:ind w:firstLine="640" w:firstLineChars="200"/>
        <w:jc w:val="left"/>
        <w:rPr>
          <w:rFonts w:ascii="宋体" w:hAnsi="宋体" w:eastAsia="宋体" w:cs="黑体"/>
          <w:color w:val="000000"/>
          <w:kern w:val="0"/>
          <w:sz w:val="32"/>
          <w:szCs w:val="32"/>
        </w:rPr>
      </w:pPr>
      <w:r>
        <w:rPr>
          <w:rFonts w:hint="eastAsia" w:ascii="宋体" w:hAnsi="宋体" w:eastAsia="宋体" w:cs="黑体"/>
          <w:b/>
          <w:color w:val="000000"/>
          <w:kern w:val="0"/>
          <w:sz w:val="32"/>
          <w:szCs w:val="32"/>
          <w:lang w:val="en-US" w:eastAsia="zh-CN"/>
        </w:rPr>
        <w:t>2、</w:t>
      </w:r>
      <w:r>
        <w:rPr>
          <w:rFonts w:hint="eastAsia" w:ascii="宋体" w:hAnsi="宋体" w:eastAsia="宋体" w:cs="黑体"/>
          <w:b/>
          <w:color w:val="000000"/>
          <w:kern w:val="0"/>
          <w:sz w:val="32"/>
          <w:szCs w:val="32"/>
          <w:highlight w:val="none"/>
        </w:rPr>
        <w:t>202</w:t>
      </w:r>
      <w:r>
        <w:rPr>
          <w:rFonts w:hint="eastAsia" w:ascii="宋体" w:hAnsi="宋体" w:eastAsia="宋体" w:cs="黑体"/>
          <w:b/>
          <w:color w:val="000000"/>
          <w:kern w:val="0"/>
          <w:sz w:val="32"/>
          <w:szCs w:val="32"/>
          <w:highlight w:val="none"/>
          <w:lang w:val="en-US" w:eastAsia="zh-CN"/>
        </w:rPr>
        <w:t>4</w:t>
      </w:r>
      <w:r>
        <w:rPr>
          <w:rFonts w:hint="eastAsia" w:ascii="宋体" w:hAnsi="宋体" w:eastAsia="宋体" w:cs="黑体"/>
          <w:b/>
          <w:color w:val="000000"/>
          <w:kern w:val="0"/>
          <w:sz w:val="32"/>
          <w:szCs w:val="32"/>
        </w:rPr>
        <w:t>年度部门整体支出绩效评价报告</w:t>
      </w:r>
    </w:p>
    <w:p w14:paraId="045AD96C"/>
    <w:p w14:paraId="1B7015F8">
      <w:pPr>
        <w:pStyle w:val="8"/>
      </w:pPr>
    </w:p>
    <w:p w14:paraId="2206FD9B">
      <w:pPr>
        <w:pStyle w:val="2"/>
      </w:pPr>
    </w:p>
    <w:p w14:paraId="5DDF5E99"/>
    <w:p w14:paraId="785028D4">
      <w:pPr>
        <w:pStyle w:val="8"/>
      </w:pPr>
    </w:p>
    <w:p w14:paraId="1EA44E47">
      <w:pPr>
        <w:pStyle w:val="2"/>
      </w:pPr>
    </w:p>
    <w:p w14:paraId="3689FB30"/>
    <w:p w14:paraId="2FE4F97D">
      <w:pPr>
        <w:pStyle w:val="8"/>
      </w:pPr>
    </w:p>
    <w:p w14:paraId="76348671">
      <w:pPr>
        <w:pStyle w:val="2"/>
      </w:pPr>
    </w:p>
    <w:p w14:paraId="2C3CE4F6"/>
    <w:p w14:paraId="305F096D">
      <w:pPr>
        <w:pStyle w:val="8"/>
      </w:pPr>
    </w:p>
    <w:p w14:paraId="134339D3">
      <w:pPr>
        <w:pStyle w:val="2"/>
      </w:pPr>
    </w:p>
    <w:p w14:paraId="72F0A556">
      <w:pPr>
        <w:keepNext w:val="0"/>
        <w:keepLines w:val="0"/>
        <w:pageBreakBefore w:val="0"/>
        <w:widowControl w:val="0"/>
        <w:kinsoku/>
        <w:wordWrap/>
        <w:overflowPunct/>
        <w:topLinePunct w:val="0"/>
        <w:autoSpaceDE/>
        <w:autoSpaceDN/>
        <w:bidi w:val="0"/>
        <w:adjustRightInd/>
        <w:snapToGrid/>
        <w:spacing w:afterLines="0" w:line="360" w:lineRule="auto"/>
        <w:ind w:firstLine="640" w:firstLineChars="200"/>
        <w:jc w:val="both"/>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附件：1</w:t>
      </w:r>
      <w:r>
        <w:rPr>
          <w:rFonts w:hint="default" w:ascii="Times New Roman" w:hAnsi="Times New Roman" w:eastAsia="仿宋_GB2312" w:cs="Times New Roman"/>
          <w:sz w:val="32"/>
          <w:szCs w:val="32"/>
          <w:highlight w:val="none"/>
          <w:lang w:val="en-US" w:eastAsia="zh-CN"/>
        </w:rPr>
        <w:t>.</w:t>
      </w:r>
      <w:r>
        <w:rPr>
          <w:rFonts w:hint="default" w:ascii="Times New Roman" w:hAnsi="Times New Roman" w:eastAsia="仿宋_GB2312" w:cs="Times New Roman"/>
          <w:sz w:val="32"/>
          <w:szCs w:val="32"/>
          <w:highlight w:val="none"/>
        </w:rPr>
        <w:t>202</w:t>
      </w:r>
      <w:r>
        <w:rPr>
          <w:rFonts w:hint="eastAsia" w:eastAsia="仿宋_GB2312" w:cs="Times New Roman"/>
          <w:sz w:val="32"/>
          <w:szCs w:val="32"/>
          <w:highlight w:val="none"/>
          <w:lang w:val="en-US" w:eastAsia="zh-CN"/>
        </w:rPr>
        <w:t>4</w:t>
      </w:r>
      <w:r>
        <w:rPr>
          <w:rFonts w:hint="default" w:ascii="Times New Roman" w:hAnsi="Times New Roman" w:eastAsia="仿宋_GB2312" w:cs="Times New Roman"/>
          <w:sz w:val="32"/>
          <w:szCs w:val="32"/>
          <w:highlight w:val="none"/>
        </w:rPr>
        <w:t>年度部门整体支出绩效评价基础数据表</w:t>
      </w:r>
    </w:p>
    <w:p w14:paraId="27FC20D7">
      <w:pPr>
        <w:keepNext w:val="0"/>
        <w:keepLines w:val="0"/>
        <w:pageBreakBefore w:val="0"/>
        <w:widowControl w:val="0"/>
        <w:kinsoku/>
        <w:wordWrap/>
        <w:overflowPunct/>
        <w:topLinePunct w:val="0"/>
        <w:autoSpaceDE/>
        <w:autoSpaceDN/>
        <w:bidi w:val="0"/>
        <w:adjustRightInd/>
        <w:snapToGrid/>
        <w:spacing w:afterLines="0" w:line="360" w:lineRule="auto"/>
        <w:ind w:left="0" w:leftChars="0" w:firstLine="1600" w:firstLineChars="500"/>
        <w:jc w:val="both"/>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lang w:val="en-US" w:eastAsia="zh-CN"/>
        </w:rPr>
        <w:t>2.</w:t>
      </w:r>
      <w:r>
        <w:rPr>
          <w:rFonts w:hint="default" w:ascii="Times New Roman" w:hAnsi="Times New Roman" w:eastAsia="仿宋_GB2312" w:cs="Times New Roman"/>
          <w:sz w:val="32"/>
          <w:szCs w:val="32"/>
          <w:highlight w:val="none"/>
        </w:rPr>
        <w:t>202</w:t>
      </w:r>
      <w:r>
        <w:rPr>
          <w:rFonts w:hint="eastAsia" w:eastAsia="仿宋_GB2312" w:cs="Times New Roman"/>
          <w:sz w:val="32"/>
          <w:szCs w:val="32"/>
          <w:highlight w:val="none"/>
          <w:lang w:val="en-US" w:eastAsia="zh-CN"/>
        </w:rPr>
        <w:t>4</w:t>
      </w:r>
      <w:r>
        <w:rPr>
          <w:rFonts w:hint="default" w:ascii="Times New Roman" w:hAnsi="Times New Roman" w:eastAsia="仿宋_GB2312" w:cs="Times New Roman"/>
          <w:sz w:val="32"/>
          <w:szCs w:val="32"/>
          <w:highlight w:val="none"/>
        </w:rPr>
        <w:t>年度部门整体支出绩效自评表</w:t>
      </w:r>
    </w:p>
    <w:p w14:paraId="0AD01B04">
      <w:pPr>
        <w:keepNext w:val="0"/>
        <w:keepLines w:val="0"/>
        <w:pageBreakBefore w:val="0"/>
        <w:widowControl w:val="0"/>
        <w:kinsoku/>
        <w:wordWrap/>
        <w:overflowPunct/>
        <w:topLinePunct w:val="0"/>
        <w:autoSpaceDE/>
        <w:autoSpaceDN/>
        <w:bidi w:val="0"/>
        <w:adjustRightInd/>
        <w:snapToGrid/>
        <w:spacing w:afterLines="0" w:line="360" w:lineRule="auto"/>
        <w:ind w:left="0" w:leftChars="0" w:firstLine="1600" w:firstLineChars="500"/>
        <w:jc w:val="both"/>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lang w:val="en-US" w:eastAsia="zh-CN"/>
        </w:rPr>
        <w:t>3.</w:t>
      </w:r>
      <w:r>
        <w:rPr>
          <w:rFonts w:hint="default" w:ascii="Times New Roman" w:hAnsi="Times New Roman" w:eastAsia="仿宋_GB2312" w:cs="Times New Roman"/>
          <w:sz w:val="32"/>
          <w:szCs w:val="32"/>
          <w:highlight w:val="none"/>
        </w:rPr>
        <w:t>202</w:t>
      </w:r>
      <w:r>
        <w:rPr>
          <w:rFonts w:hint="eastAsia" w:eastAsia="仿宋_GB2312" w:cs="Times New Roman"/>
          <w:sz w:val="32"/>
          <w:szCs w:val="32"/>
          <w:highlight w:val="none"/>
          <w:lang w:val="en-US" w:eastAsia="zh-CN"/>
        </w:rPr>
        <w:t>4</w:t>
      </w:r>
      <w:r>
        <w:rPr>
          <w:rFonts w:hint="default" w:ascii="Times New Roman" w:hAnsi="Times New Roman" w:eastAsia="仿宋_GB2312" w:cs="Times New Roman"/>
          <w:sz w:val="32"/>
          <w:szCs w:val="32"/>
          <w:highlight w:val="none"/>
        </w:rPr>
        <w:t>年度项目支出绩效自评表</w:t>
      </w:r>
    </w:p>
    <w:p w14:paraId="56232DF1">
      <w:pPr>
        <w:keepNext w:val="0"/>
        <w:keepLines w:val="0"/>
        <w:pageBreakBefore w:val="0"/>
        <w:widowControl w:val="0"/>
        <w:kinsoku/>
        <w:wordWrap/>
        <w:overflowPunct/>
        <w:topLinePunct w:val="0"/>
        <w:autoSpaceDE/>
        <w:autoSpaceDN/>
        <w:bidi w:val="0"/>
        <w:adjustRightInd/>
        <w:snapToGrid/>
        <w:spacing w:afterLines="0" w:line="360" w:lineRule="auto"/>
        <w:ind w:left="1600" w:leftChars="762" w:firstLine="0" w:firstLineChars="0"/>
        <w:jc w:val="both"/>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lang w:val="en-US" w:eastAsia="zh-CN"/>
        </w:rPr>
        <w:t>4.</w:t>
      </w:r>
      <w:r>
        <w:rPr>
          <w:rFonts w:hint="default" w:ascii="Times New Roman" w:hAnsi="Times New Roman" w:eastAsia="仿宋_GB2312" w:cs="Times New Roman"/>
          <w:sz w:val="32"/>
          <w:szCs w:val="32"/>
          <w:highlight w:val="none"/>
        </w:rPr>
        <w:t>202</w:t>
      </w:r>
      <w:r>
        <w:rPr>
          <w:rFonts w:hint="eastAsia" w:eastAsia="仿宋_GB2312" w:cs="Times New Roman"/>
          <w:sz w:val="32"/>
          <w:szCs w:val="32"/>
          <w:highlight w:val="none"/>
          <w:lang w:val="en-US" w:eastAsia="zh-CN"/>
        </w:rPr>
        <w:t>4</w:t>
      </w:r>
      <w:r>
        <w:rPr>
          <w:rFonts w:hint="default" w:ascii="Times New Roman" w:hAnsi="Times New Roman" w:eastAsia="仿宋_GB2312" w:cs="Times New Roman"/>
          <w:sz w:val="32"/>
          <w:szCs w:val="32"/>
          <w:highlight w:val="none"/>
        </w:rPr>
        <w:t>年度</w:t>
      </w:r>
      <w:r>
        <w:rPr>
          <w:rFonts w:hint="default" w:ascii="Times New Roman" w:hAnsi="Times New Roman" w:eastAsia="仿宋_GB2312" w:cs="Times New Roman"/>
          <w:sz w:val="32"/>
          <w:szCs w:val="32"/>
          <w:highlight w:val="none"/>
          <w:lang w:eastAsia="zh-CN"/>
        </w:rPr>
        <w:t>市</w:t>
      </w:r>
      <w:r>
        <w:rPr>
          <w:rFonts w:hint="default" w:ascii="Times New Roman" w:hAnsi="Times New Roman" w:eastAsia="仿宋_GB2312" w:cs="Times New Roman"/>
          <w:sz w:val="32"/>
          <w:szCs w:val="32"/>
          <w:highlight w:val="none"/>
        </w:rPr>
        <w:t>直预算部门整体支出绩效自评报告</w:t>
      </w:r>
    </w:p>
    <w:p w14:paraId="07FD7E8A">
      <w:pPr>
        <w:keepNext w:val="0"/>
        <w:keepLines w:val="0"/>
        <w:pageBreakBefore w:val="0"/>
        <w:widowControl w:val="0"/>
        <w:kinsoku/>
        <w:wordWrap/>
        <w:overflowPunct/>
        <w:topLinePunct w:val="0"/>
        <w:autoSpaceDE/>
        <w:autoSpaceDN/>
        <w:bidi w:val="0"/>
        <w:adjustRightInd/>
        <w:snapToGrid/>
        <w:spacing w:afterLines="0" w:line="360" w:lineRule="auto"/>
        <w:ind w:left="1600" w:leftChars="762" w:firstLine="0" w:firstLineChars="0"/>
        <w:jc w:val="both"/>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 xml:space="preserve"> （统一参考格式）   </w:t>
      </w:r>
    </w:p>
    <w:p w14:paraId="25909820">
      <w:pPr>
        <w:keepNext w:val="0"/>
        <w:keepLines w:val="0"/>
        <w:pageBreakBefore w:val="0"/>
        <w:widowControl w:val="0"/>
        <w:kinsoku/>
        <w:wordWrap/>
        <w:overflowPunct/>
        <w:topLinePunct w:val="0"/>
        <w:autoSpaceDE/>
        <w:autoSpaceDN/>
        <w:bidi w:val="0"/>
        <w:adjustRightInd/>
        <w:snapToGrid/>
        <w:spacing w:afterLines="0" w:line="360" w:lineRule="auto"/>
        <w:ind w:left="0" w:leftChars="0" w:firstLine="1600" w:firstLineChars="500"/>
        <w:jc w:val="both"/>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lang w:val="en-US" w:eastAsia="zh-CN"/>
        </w:rPr>
        <w:t>5.</w:t>
      </w:r>
      <w:r>
        <w:rPr>
          <w:rFonts w:hint="default" w:ascii="Times New Roman" w:hAnsi="Times New Roman" w:eastAsia="仿宋_GB2312" w:cs="Times New Roman"/>
          <w:sz w:val="32"/>
          <w:szCs w:val="32"/>
          <w:highlight w:val="none"/>
        </w:rPr>
        <w:t>部门整体支出绩效自评工作考核评分表</w:t>
      </w:r>
    </w:p>
    <w:p w14:paraId="0D94AD1D">
      <w:pPr>
        <w:spacing w:line="640" w:lineRule="exact"/>
        <w:ind w:firstLine="627" w:firstLineChars="196"/>
        <w:rPr>
          <w:rFonts w:hint="default" w:ascii="Times New Roman" w:eastAsia="仿宋_GB2312" w:cs="Times New Roman"/>
          <w:sz w:val="32"/>
          <w:szCs w:val="32"/>
        </w:rPr>
      </w:pPr>
    </w:p>
    <w:p w14:paraId="0FBE2DC9">
      <w:pPr>
        <w:spacing w:line="640" w:lineRule="exact"/>
        <w:ind w:firstLine="627" w:firstLineChars="196"/>
        <w:rPr>
          <w:rFonts w:hint="default" w:ascii="Times New Roman" w:eastAsia="仿宋_GB2312" w:cs="Times New Roman"/>
          <w:color w:val="000000"/>
          <w:sz w:val="32"/>
        </w:rPr>
      </w:pPr>
    </w:p>
    <w:p w14:paraId="55404750">
      <w:pPr>
        <w:wordWrap w:val="0"/>
        <w:spacing w:line="640" w:lineRule="exact"/>
        <w:ind w:firstLine="0" w:firstLineChars="0"/>
        <w:jc w:val="right"/>
        <w:rPr>
          <w:rFonts w:hint="default" w:ascii="Times New Roman" w:eastAsia="仿宋_GB2312" w:cs="Times New Roman"/>
          <w:sz w:val="32"/>
          <w:lang w:val="en-US" w:eastAsia="zh-CN"/>
        </w:rPr>
      </w:pPr>
      <w:r>
        <w:rPr>
          <w:rFonts w:hint="eastAsia" w:eastAsia="仿宋_GB2312" w:cs="Times New Roman"/>
          <w:sz w:val="32"/>
          <w:lang w:val="en-US" w:eastAsia="zh-CN"/>
        </w:rPr>
        <w:t xml:space="preserve">          </w:t>
      </w:r>
    </w:p>
    <w:p w14:paraId="107D45E4">
      <w:pPr>
        <w:wordWrap w:val="0"/>
        <w:spacing w:line="640" w:lineRule="exact"/>
        <w:ind w:right="0" w:firstLine="0" w:firstLineChars="0"/>
        <w:jc w:val="right"/>
        <w:rPr>
          <w:rFonts w:hint="default" w:ascii="Times New Roman" w:eastAsia="仿宋_GB2312" w:cs="Times New Roman"/>
          <w:sz w:val="32"/>
          <w:lang w:val="en-US" w:eastAsia="zh-CN"/>
        </w:rPr>
      </w:pPr>
      <w:r>
        <w:rPr>
          <w:rFonts w:hint="default" w:ascii="Times New Roman" w:eastAsia="仿宋_GB2312" w:cs="Times New Roman"/>
          <w:sz w:val="32"/>
        </w:rPr>
        <w:t xml:space="preserve">                      </w:t>
      </w:r>
      <w:r>
        <w:rPr>
          <w:rFonts w:hint="eastAsia" w:eastAsia="仿宋_GB2312" w:cs="Times New Roman"/>
          <w:sz w:val="32"/>
          <w:lang w:val="en-US" w:eastAsia="zh-CN"/>
        </w:rPr>
        <w:t xml:space="preserve">      </w:t>
      </w:r>
    </w:p>
    <w:p w14:paraId="428DACFF">
      <w:pPr>
        <w:rPr>
          <w:rFonts w:hint="default" w:ascii="Times New Roman" w:eastAsia="仿宋_GB2312" w:cs="Times New Roman"/>
          <w:szCs w:val="21"/>
        </w:rPr>
      </w:pPr>
    </w:p>
    <w:p w14:paraId="5DB595BE">
      <w:pPr>
        <w:rPr>
          <w:rFonts w:hint="default" w:ascii="Times New Roman" w:eastAsia="仿宋_GB2312" w:cs="Times New Roman"/>
          <w:szCs w:val="21"/>
        </w:rPr>
      </w:pPr>
    </w:p>
    <w:p w14:paraId="2E61E517">
      <w:pPr>
        <w:rPr>
          <w:rFonts w:hint="default" w:ascii="Times New Roman" w:eastAsia="仿宋_GB2312" w:cs="Times New Roman"/>
          <w:szCs w:val="21"/>
        </w:rPr>
      </w:pPr>
    </w:p>
    <w:p w14:paraId="1FC60381">
      <w:pPr>
        <w:rPr>
          <w:rFonts w:hint="default" w:ascii="Times New Roman" w:eastAsia="仿宋_GB2312" w:cs="Times New Roman"/>
          <w:szCs w:val="21"/>
        </w:rPr>
      </w:pPr>
    </w:p>
    <w:p w14:paraId="7A368FB3">
      <w:pPr>
        <w:rPr>
          <w:rFonts w:hint="default" w:ascii="Times New Roman" w:eastAsia="仿宋_GB2312" w:cs="Times New Roman"/>
          <w:szCs w:val="21"/>
        </w:rPr>
      </w:pPr>
    </w:p>
    <w:p w14:paraId="785E1D66">
      <w:pPr>
        <w:rPr>
          <w:rFonts w:hint="default" w:ascii="Times New Roman" w:eastAsia="仿宋_GB2312" w:cs="Times New Roman"/>
          <w:szCs w:val="21"/>
        </w:rPr>
      </w:pPr>
    </w:p>
    <w:p w14:paraId="1966924F">
      <w:pPr>
        <w:rPr>
          <w:rFonts w:hint="default" w:ascii="Times New Roman" w:eastAsia="仿宋_GB2312" w:cs="Times New Roman"/>
          <w:szCs w:val="21"/>
        </w:rPr>
      </w:pPr>
    </w:p>
    <w:p w14:paraId="2621A176">
      <w:pPr>
        <w:spacing w:line="120" w:lineRule="exact"/>
        <w:rPr>
          <w:rFonts w:hint="default" w:ascii="Times New Roman" w:eastAsia="仿宋_GB2312" w:cs="Times New Roman"/>
          <w:sz w:val="28"/>
          <w:szCs w:val="28"/>
        </w:rPr>
      </w:pPr>
    </w:p>
    <w:p w14:paraId="1F72D350">
      <w:pPr>
        <w:spacing w:line="120" w:lineRule="exact"/>
        <w:rPr>
          <w:rFonts w:hint="default" w:ascii="Times New Roman" w:eastAsia="仿宋_GB2312" w:cs="Times New Roman"/>
          <w:sz w:val="28"/>
          <w:szCs w:val="28"/>
        </w:rPr>
      </w:pPr>
    </w:p>
    <w:p w14:paraId="398A946D">
      <w:pPr>
        <w:spacing w:line="120" w:lineRule="exact"/>
        <w:rPr>
          <w:rFonts w:hint="default" w:ascii="Times New Roman" w:eastAsia="仿宋_GB2312" w:cs="Times New Roman"/>
          <w:sz w:val="28"/>
          <w:szCs w:val="28"/>
        </w:rPr>
      </w:pPr>
    </w:p>
    <w:p w14:paraId="190952A4">
      <w:pPr>
        <w:spacing w:line="120" w:lineRule="exact"/>
        <w:rPr>
          <w:rFonts w:hint="default" w:ascii="Times New Roman" w:eastAsia="仿宋_GB2312" w:cs="Times New Roman"/>
          <w:sz w:val="28"/>
          <w:szCs w:val="28"/>
        </w:rPr>
      </w:pPr>
    </w:p>
    <w:p w14:paraId="180150A9">
      <w:pPr>
        <w:spacing w:line="120" w:lineRule="exact"/>
        <w:rPr>
          <w:rFonts w:hint="default" w:ascii="Times New Roman" w:eastAsia="仿宋_GB2312" w:cs="Times New Roman"/>
          <w:sz w:val="28"/>
          <w:szCs w:val="28"/>
        </w:rPr>
      </w:pPr>
    </w:p>
    <w:p w14:paraId="471EDC5C">
      <w:pPr>
        <w:spacing w:line="120" w:lineRule="exact"/>
        <w:rPr>
          <w:rFonts w:hint="default" w:ascii="Times New Roman" w:eastAsia="仿宋_GB2312" w:cs="Times New Roman"/>
          <w:sz w:val="28"/>
          <w:szCs w:val="28"/>
        </w:rPr>
      </w:pPr>
    </w:p>
    <w:p w14:paraId="22D06F30">
      <w:pPr>
        <w:spacing w:line="120" w:lineRule="exact"/>
        <w:rPr>
          <w:rFonts w:hint="default" w:ascii="Times New Roman" w:eastAsia="仿宋_GB2312" w:cs="Times New Roman"/>
          <w:sz w:val="28"/>
          <w:szCs w:val="28"/>
        </w:rPr>
      </w:pPr>
    </w:p>
    <w:p w14:paraId="5CBEE0EF">
      <w:pPr>
        <w:spacing w:line="120" w:lineRule="exact"/>
        <w:rPr>
          <w:rFonts w:hint="default" w:ascii="Times New Roman" w:eastAsia="仿宋_GB2312" w:cs="Times New Roman"/>
          <w:sz w:val="28"/>
          <w:szCs w:val="28"/>
        </w:rPr>
      </w:pPr>
    </w:p>
    <w:p w14:paraId="20375A8B">
      <w:pPr>
        <w:spacing w:line="120" w:lineRule="exact"/>
        <w:rPr>
          <w:rFonts w:hint="default" w:ascii="Times New Roman" w:eastAsia="仿宋_GB2312" w:cs="Times New Roman"/>
          <w:sz w:val="28"/>
          <w:szCs w:val="28"/>
        </w:rPr>
      </w:pPr>
    </w:p>
    <w:p w14:paraId="47F1D40D">
      <w:pPr>
        <w:spacing w:line="120" w:lineRule="exact"/>
        <w:rPr>
          <w:rFonts w:hint="default" w:ascii="Times New Roman" w:eastAsia="仿宋_GB2312" w:cs="Times New Roman"/>
          <w:sz w:val="28"/>
          <w:szCs w:val="28"/>
        </w:rPr>
      </w:pPr>
    </w:p>
    <w:p w14:paraId="6AB1572E">
      <w:pPr>
        <w:spacing w:line="120" w:lineRule="exact"/>
        <w:rPr>
          <w:rFonts w:hint="default" w:ascii="Times New Roman" w:eastAsia="仿宋_GB2312" w:cs="Times New Roman"/>
          <w:sz w:val="28"/>
          <w:szCs w:val="28"/>
        </w:rPr>
      </w:pPr>
    </w:p>
    <w:p w14:paraId="3CE0C062">
      <w:pPr>
        <w:spacing w:line="120" w:lineRule="exact"/>
        <w:rPr>
          <w:rFonts w:hint="default" w:ascii="Times New Roman" w:eastAsia="仿宋_GB2312" w:cs="Times New Roman"/>
          <w:sz w:val="28"/>
          <w:szCs w:val="28"/>
        </w:rPr>
      </w:pPr>
    </w:p>
    <w:p w14:paraId="36FB9EB3">
      <w:pPr>
        <w:spacing w:line="120" w:lineRule="exact"/>
        <w:rPr>
          <w:rFonts w:hint="default" w:ascii="Times New Roman" w:eastAsia="仿宋_GB2312" w:cs="Times New Roman"/>
          <w:sz w:val="28"/>
          <w:szCs w:val="28"/>
        </w:rPr>
      </w:pPr>
    </w:p>
    <w:p w14:paraId="041AAD13">
      <w:pPr>
        <w:spacing w:after="0" w:afterLines="0" w:line="240" w:lineRule="auto"/>
        <w:ind w:firstLine="280" w:firstLineChars="100"/>
        <w:jc w:val="left"/>
        <w:rPr>
          <w:rFonts w:hint="default" w:ascii="Times New Roman" w:eastAsia="仿宋_GB2312" w:cs="Times New Roman"/>
          <w:sz w:val="28"/>
          <w:szCs w:val="28"/>
        </w:rPr>
      </w:pPr>
    </w:p>
    <w:p w14:paraId="6FD95FF6">
      <w:pPr>
        <w:spacing w:after="0" w:afterLines="0" w:line="120" w:lineRule="exact"/>
        <w:ind w:firstLine="280" w:firstLineChars="100"/>
        <w:jc w:val="left"/>
        <w:rPr>
          <w:rFonts w:hint="default" w:ascii="Times New Roman" w:eastAsia="仿宋_GB2312" w:cs="Times New Roman"/>
          <w:sz w:val="28"/>
          <w:szCs w:val="28"/>
        </w:rPr>
      </w:pPr>
    </w:p>
    <w:p w14:paraId="6C3FC274">
      <w:pPr>
        <w:spacing w:after="0" w:afterLines="0" w:line="120" w:lineRule="exact"/>
        <w:ind w:firstLine="280" w:firstLineChars="100"/>
        <w:jc w:val="left"/>
        <w:rPr>
          <w:rFonts w:hint="default" w:ascii="Times New Roman" w:eastAsia="仿宋_GB2312" w:cs="Times New Roman"/>
          <w:sz w:val="28"/>
          <w:szCs w:val="28"/>
        </w:rPr>
      </w:pPr>
    </w:p>
    <w:p w14:paraId="3087D41A">
      <w:pPr>
        <w:spacing w:after="0" w:afterLines="0" w:line="120" w:lineRule="exact"/>
        <w:ind w:firstLine="280" w:firstLineChars="100"/>
        <w:jc w:val="left"/>
        <w:rPr>
          <w:rFonts w:hint="default" w:ascii="Times New Roman" w:eastAsia="仿宋_GB2312" w:cs="Times New Roman"/>
          <w:sz w:val="28"/>
          <w:szCs w:val="28"/>
        </w:rPr>
      </w:pPr>
    </w:p>
    <w:p w14:paraId="7BA84253">
      <w:pPr>
        <w:spacing w:after="0" w:afterLines="0" w:line="120" w:lineRule="exact"/>
        <w:ind w:firstLine="280" w:firstLineChars="100"/>
        <w:jc w:val="left"/>
        <w:rPr>
          <w:rFonts w:hint="default" w:ascii="Times New Roman" w:eastAsia="仿宋_GB2312" w:cs="Times New Roman"/>
          <w:sz w:val="28"/>
          <w:szCs w:val="28"/>
        </w:rPr>
      </w:pPr>
    </w:p>
    <w:p w14:paraId="398E5B95">
      <w:pPr>
        <w:spacing w:after="0" w:afterLines="0" w:line="120" w:lineRule="exact"/>
        <w:ind w:firstLine="280" w:firstLineChars="100"/>
        <w:jc w:val="left"/>
        <w:rPr>
          <w:rFonts w:hint="default" w:ascii="Times New Roman" w:eastAsia="仿宋_GB2312" w:cs="Times New Roman"/>
          <w:sz w:val="28"/>
          <w:szCs w:val="28"/>
        </w:rPr>
      </w:pPr>
    </w:p>
    <w:p w14:paraId="412E8B64">
      <w:pPr>
        <w:spacing w:after="0" w:afterLines="0" w:line="120" w:lineRule="exact"/>
        <w:ind w:firstLine="280" w:firstLineChars="100"/>
        <w:jc w:val="left"/>
        <w:rPr>
          <w:rFonts w:hint="default" w:ascii="Times New Roman" w:eastAsia="仿宋_GB2312" w:cs="Times New Roman"/>
          <w:sz w:val="28"/>
          <w:szCs w:val="28"/>
        </w:rPr>
      </w:pPr>
    </w:p>
    <w:p w14:paraId="65D62306">
      <w:pPr>
        <w:spacing w:after="0" w:afterLines="0" w:line="120" w:lineRule="exact"/>
        <w:ind w:firstLine="280" w:firstLineChars="100"/>
        <w:jc w:val="left"/>
        <w:rPr>
          <w:rFonts w:hint="default" w:ascii="Times New Roman" w:eastAsia="仿宋_GB2312" w:cs="Times New Roman"/>
          <w:sz w:val="28"/>
          <w:szCs w:val="28"/>
        </w:rPr>
      </w:pPr>
    </w:p>
    <w:p w14:paraId="4F607FF3">
      <w:pPr>
        <w:spacing w:after="0" w:afterLines="0" w:line="120" w:lineRule="exact"/>
        <w:ind w:firstLine="280" w:firstLineChars="100"/>
        <w:jc w:val="left"/>
        <w:rPr>
          <w:rFonts w:hint="default" w:ascii="Times New Roman" w:eastAsia="仿宋_GB2312" w:cs="Times New Roman"/>
          <w:sz w:val="28"/>
          <w:szCs w:val="28"/>
        </w:rPr>
      </w:pPr>
    </w:p>
    <w:p w14:paraId="29883DA8">
      <w:pPr>
        <w:spacing w:after="0" w:afterLines="0" w:line="120" w:lineRule="exact"/>
        <w:ind w:firstLine="280" w:firstLineChars="100"/>
        <w:jc w:val="left"/>
        <w:rPr>
          <w:rFonts w:hint="default" w:ascii="Times New Roman" w:eastAsia="仿宋_GB2312" w:cs="Times New Roman"/>
          <w:sz w:val="28"/>
          <w:szCs w:val="28"/>
        </w:rPr>
      </w:pPr>
    </w:p>
    <w:p w14:paraId="55DAA7FF">
      <w:pPr>
        <w:spacing w:after="0" w:afterLines="0" w:line="120" w:lineRule="exact"/>
        <w:ind w:firstLine="280" w:firstLineChars="100"/>
        <w:jc w:val="left"/>
        <w:rPr>
          <w:rFonts w:hint="default" w:ascii="Times New Roman" w:eastAsia="仿宋_GB2312" w:cs="Times New Roman"/>
          <w:sz w:val="28"/>
          <w:szCs w:val="28"/>
        </w:rPr>
      </w:pPr>
    </w:p>
    <w:p w14:paraId="54505185">
      <w:pPr>
        <w:spacing w:after="0" w:afterLines="0" w:line="500" w:lineRule="exact"/>
        <w:ind w:firstLine="280" w:firstLineChars="100"/>
        <w:jc w:val="left"/>
        <w:rPr>
          <w:rFonts w:hint="eastAsia" w:ascii="黑体" w:hAnsi="黑体" w:eastAsia="黑体" w:cs="黑体"/>
          <w:sz w:val="32"/>
          <w:szCs w:val="32"/>
          <w:highlight w:val="none"/>
          <w:lang w:val="en-US" w:eastAsia="zh-CN"/>
        </w:rPr>
      </w:pPr>
      <w:r>
        <w:rPr>
          <w:rFonts w:ascii="Times New Roman" w:eastAsia="仿宋_GB2312" w:cs="Times New Roman"/>
          <w:sz w:val="28"/>
          <w:szCs w:val="28"/>
        </w:rPr>
        <w:br w:type="page"/>
      </w:r>
      <w:r>
        <w:rPr>
          <w:rFonts w:hint="eastAsia" w:ascii="黑体" w:hAnsi="黑体" w:eastAsia="黑体" w:cs="黑体"/>
          <w:sz w:val="32"/>
          <w:szCs w:val="32"/>
          <w:highlight w:val="none"/>
          <w:lang w:eastAsia="zh-CN"/>
        </w:rPr>
        <w:t>附件</w:t>
      </w:r>
      <w:r>
        <w:rPr>
          <w:rFonts w:hint="eastAsia" w:ascii="黑体" w:hAnsi="黑体" w:eastAsia="黑体" w:cs="黑体"/>
          <w:sz w:val="32"/>
          <w:szCs w:val="32"/>
          <w:highlight w:val="none"/>
          <w:lang w:val="en-US" w:eastAsia="zh-CN"/>
        </w:rPr>
        <w:t>1</w:t>
      </w:r>
    </w:p>
    <w:p w14:paraId="59543ACD">
      <w:pPr>
        <w:spacing w:after="0" w:afterLines="0" w:line="240" w:lineRule="auto"/>
        <w:ind w:firstLine="320" w:firstLineChars="100"/>
        <w:jc w:val="left"/>
        <w:rPr>
          <w:rFonts w:hint="eastAsia" w:ascii="黑体" w:hAnsi="黑体" w:eastAsia="黑体" w:cs="黑体"/>
          <w:sz w:val="32"/>
          <w:szCs w:val="32"/>
          <w:highlight w:val="none"/>
          <w:lang w:val="en-US" w:eastAsia="zh-CN"/>
        </w:rPr>
      </w:pPr>
    </w:p>
    <w:p w14:paraId="62276572">
      <w:pPr>
        <w:spacing w:after="120" w:afterLines="50" w:line="600" w:lineRule="exact"/>
        <w:jc w:val="center"/>
        <w:rPr>
          <w:rFonts w:hint="eastAsia" w:ascii="方正小标宋简体" w:hAnsi="方正小标宋简体" w:eastAsia="方正小标宋简体" w:cs="方正小标宋简体"/>
          <w:sz w:val="24"/>
          <w:highlight w:val="none"/>
        </w:rPr>
      </w:pPr>
      <w:r>
        <w:rPr>
          <w:rFonts w:hint="eastAsia" w:ascii="方正小标宋简体" w:hAnsi="方正小标宋简体" w:eastAsia="方正小标宋简体" w:cs="方正小标宋简体"/>
          <w:sz w:val="36"/>
          <w:szCs w:val="36"/>
          <w:highlight w:val="none"/>
        </w:rPr>
        <w:t>202</w:t>
      </w:r>
      <w:r>
        <w:rPr>
          <w:rFonts w:hint="eastAsia" w:ascii="方正小标宋简体" w:hAnsi="方正小标宋简体" w:eastAsia="方正小标宋简体" w:cs="方正小标宋简体"/>
          <w:sz w:val="36"/>
          <w:szCs w:val="36"/>
          <w:highlight w:val="none"/>
          <w:lang w:val="en-US" w:eastAsia="zh-CN"/>
        </w:rPr>
        <w:t>4</w:t>
      </w:r>
      <w:r>
        <w:rPr>
          <w:rFonts w:hint="eastAsia" w:ascii="方正小标宋简体" w:hAnsi="方正小标宋简体" w:eastAsia="方正小标宋简体" w:cs="方正小标宋简体"/>
          <w:sz w:val="36"/>
          <w:szCs w:val="36"/>
          <w:highlight w:val="none"/>
        </w:rPr>
        <w:t>年度部门整体支出绩效评价基础数据表</w:t>
      </w:r>
    </w:p>
    <w:tbl>
      <w:tblPr>
        <w:tblStyle w:val="9"/>
        <w:tblW w:w="9673" w:type="dxa"/>
        <w:jc w:val="center"/>
        <w:tblLayout w:type="fixed"/>
        <w:tblCellMar>
          <w:top w:w="0" w:type="dxa"/>
          <w:left w:w="108" w:type="dxa"/>
          <w:bottom w:w="0" w:type="dxa"/>
          <w:right w:w="108" w:type="dxa"/>
        </w:tblCellMar>
      </w:tblPr>
      <w:tblGrid>
        <w:gridCol w:w="3354"/>
        <w:gridCol w:w="1189"/>
        <w:gridCol w:w="849"/>
        <w:gridCol w:w="1129"/>
        <w:gridCol w:w="1111"/>
        <w:gridCol w:w="1081"/>
        <w:gridCol w:w="960"/>
      </w:tblGrid>
      <w:tr w14:paraId="3E9AC258">
        <w:tblPrEx>
          <w:tblCellMar>
            <w:top w:w="0" w:type="dxa"/>
            <w:left w:w="108" w:type="dxa"/>
            <w:bottom w:w="0" w:type="dxa"/>
            <w:right w:w="108" w:type="dxa"/>
          </w:tblCellMar>
        </w:tblPrEx>
        <w:trPr>
          <w:trHeight w:val="0" w:hRule="atLeast"/>
          <w:jc w:val="center"/>
        </w:trPr>
        <w:tc>
          <w:tcPr>
            <w:tcW w:w="3354" w:type="dxa"/>
            <w:vMerge w:val="restart"/>
            <w:tcBorders>
              <w:top w:val="single" w:color="auto" w:sz="4" w:space="0"/>
              <w:left w:val="single" w:color="auto" w:sz="4" w:space="0"/>
              <w:bottom w:val="single" w:color="auto" w:sz="4" w:space="0"/>
              <w:right w:val="single" w:color="auto" w:sz="4" w:space="0"/>
            </w:tcBorders>
            <w:noWrap w:val="0"/>
            <w:vAlign w:val="center"/>
          </w:tcPr>
          <w:p w14:paraId="3509509C">
            <w:pPr>
              <w:widowControl/>
              <w:spacing w:line="360" w:lineRule="exact"/>
              <w:jc w:val="center"/>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财政供养人员情况（人）</w:t>
            </w:r>
          </w:p>
        </w:tc>
        <w:tc>
          <w:tcPr>
            <w:tcW w:w="2038" w:type="dxa"/>
            <w:gridSpan w:val="2"/>
            <w:tcBorders>
              <w:top w:val="single" w:color="auto" w:sz="4" w:space="0"/>
              <w:left w:val="nil"/>
              <w:bottom w:val="single" w:color="auto" w:sz="4" w:space="0"/>
              <w:right w:val="single" w:color="auto" w:sz="4" w:space="0"/>
            </w:tcBorders>
            <w:noWrap w:val="0"/>
            <w:vAlign w:val="center"/>
          </w:tcPr>
          <w:p w14:paraId="3AD84730">
            <w:pPr>
              <w:widowControl/>
              <w:spacing w:line="360" w:lineRule="exact"/>
              <w:jc w:val="center"/>
              <w:rPr>
                <w:rFonts w:hint="eastAsia" w:ascii="仿宋_GB2312" w:hAnsi="仿宋_GB2312" w:eastAsia="仿宋_GB2312" w:cs="仿宋_GB2312"/>
                <w:b/>
                <w:bCs/>
                <w:sz w:val="20"/>
                <w:szCs w:val="20"/>
                <w:highlight w:val="none"/>
              </w:rPr>
            </w:pPr>
            <w:r>
              <w:rPr>
                <w:rFonts w:hint="eastAsia" w:ascii="仿宋_GB2312" w:hAnsi="仿宋_GB2312" w:eastAsia="仿宋_GB2312" w:cs="仿宋_GB2312"/>
                <w:b/>
                <w:bCs/>
                <w:sz w:val="20"/>
                <w:szCs w:val="20"/>
                <w:highlight w:val="none"/>
              </w:rPr>
              <w:t>编制数</w:t>
            </w:r>
          </w:p>
        </w:tc>
        <w:tc>
          <w:tcPr>
            <w:tcW w:w="2240" w:type="dxa"/>
            <w:gridSpan w:val="2"/>
            <w:tcBorders>
              <w:top w:val="single" w:color="auto" w:sz="4" w:space="0"/>
              <w:left w:val="nil"/>
              <w:bottom w:val="single" w:color="auto" w:sz="4" w:space="0"/>
              <w:right w:val="single" w:color="auto" w:sz="4" w:space="0"/>
            </w:tcBorders>
            <w:noWrap w:val="0"/>
            <w:vAlign w:val="center"/>
          </w:tcPr>
          <w:p w14:paraId="22552361">
            <w:pPr>
              <w:widowControl/>
              <w:spacing w:line="360" w:lineRule="exact"/>
              <w:jc w:val="center"/>
              <w:rPr>
                <w:rFonts w:hint="eastAsia" w:ascii="仿宋_GB2312" w:hAnsi="仿宋_GB2312" w:eastAsia="仿宋_GB2312" w:cs="仿宋_GB2312"/>
                <w:b/>
                <w:bCs/>
                <w:sz w:val="20"/>
                <w:szCs w:val="20"/>
                <w:highlight w:val="none"/>
              </w:rPr>
            </w:pPr>
            <w:r>
              <w:rPr>
                <w:rFonts w:hint="eastAsia" w:ascii="仿宋_GB2312" w:hAnsi="仿宋_GB2312" w:eastAsia="仿宋_GB2312" w:cs="仿宋_GB2312"/>
                <w:b/>
                <w:bCs/>
                <w:sz w:val="20"/>
                <w:szCs w:val="20"/>
                <w:highlight w:val="none"/>
              </w:rPr>
              <w:t>202</w:t>
            </w:r>
            <w:r>
              <w:rPr>
                <w:rFonts w:hint="eastAsia" w:ascii="仿宋_GB2312" w:hAnsi="仿宋_GB2312" w:eastAsia="仿宋_GB2312" w:cs="仿宋_GB2312"/>
                <w:b/>
                <w:bCs/>
                <w:sz w:val="20"/>
                <w:szCs w:val="20"/>
                <w:highlight w:val="none"/>
                <w:lang w:val="en-US" w:eastAsia="zh-CN"/>
              </w:rPr>
              <w:t>4</w:t>
            </w:r>
            <w:r>
              <w:rPr>
                <w:rFonts w:hint="eastAsia" w:ascii="仿宋_GB2312" w:hAnsi="仿宋_GB2312" w:eastAsia="仿宋_GB2312" w:cs="仿宋_GB2312"/>
                <w:b/>
                <w:bCs/>
                <w:sz w:val="20"/>
                <w:szCs w:val="20"/>
                <w:highlight w:val="none"/>
              </w:rPr>
              <w:t>年实际在职人数</w:t>
            </w:r>
          </w:p>
        </w:tc>
        <w:tc>
          <w:tcPr>
            <w:tcW w:w="2041" w:type="dxa"/>
            <w:gridSpan w:val="2"/>
            <w:tcBorders>
              <w:top w:val="single" w:color="auto" w:sz="4" w:space="0"/>
              <w:left w:val="nil"/>
              <w:bottom w:val="single" w:color="auto" w:sz="4" w:space="0"/>
              <w:right w:val="single" w:color="auto" w:sz="4" w:space="0"/>
            </w:tcBorders>
            <w:noWrap w:val="0"/>
            <w:vAlign w:val="center"/>
          </w:tcPr>
          <w:p w14:paraId="3286CC76">
            <w:pPr>
              <w:widowControl/>
              <w:spacing w:line="360" w:lineRule="exact"/>
              <w:jc w:val="center"/>
              <w:rPr>
                <w:rFonts w:hint="eastAsia" w:ascii="仿宋_GB2312" w:hAnsi="仿宋_GB2312" w:eastAsia="仿宋_GB2312" w:cs="仿宋_GB2312"/>
                <w:b/>
                <w:bCs/>
                <w:sz w:val="20"/>
                <w:szCs w:val="20"/>
                <w:highlight w:val="none"/>
              </w:rPr>
            </w:pPr>
            <w:r>
              <w:rPr>
                <w:rFonts w:hint="eastAsia" w:ascii="仿宋_GB2312" w:hAnsi="仿宋_GB2312" w:eastAsia="仿宋_GB2312" w:cs="仿宋_GB2312"/>
                <w:b/>
                <w:bCs/>
                <w:sz w:val="20"/>
                <w:szCs w:val="20"/>
                <w:highlight w:val="none"/>
              </w:rPr>
              <w:t>控制率</w:t>
            </w:r>
          </w:p>
        </w:tc>
      </w:tr>
      <w:tr w14:paraId="5DC4FECD">
        <w:tblPrEx>
          <w:tblCellMar>
            <w:top w:w="0" w:type="dxa"/>
            <w:left w:w="108" w:type="dxa"/>
            <w:bottom w:w="0" w:type="dxa"/>
            <w:right w:w="108" w:type="dxa"/>
          </w:tblCellMar>
        </w:tblPrEx>
        <w:trPr>
          <w:trHeight w:val="0" w:hRule="atLeast"/>
          <w:jc w:val="center"/>
        </w:trPr>
        <w:tc>
          <w:tcPr>
            <w:tcW w:w="3354" w:type="dxa"/>
            <w:vMerge w:val="continue"/>
            <w:tcBorders>
              <w:top w:val="single" w:color="auto" w:sz="4" w:space="0"/>
              <w:left w:val="single" w:color="auto" w:sz="4" w:space="0"/>
              <w:bottom w:val="single" w:color="auto" w:sz="4" w:space="0"/>
              <w:right w:val="single" w:color="auto" w:sz="4" w:space="0"/>
            </w:tcBorders>
            <w:noWrap w:val="0"/>
            <w:vAlign w:val="center"/>
          </w:tcPr>
          <w:p w14:paraId="3BE068EC">
            <w:pPr>
              <w:widowControl/>
              <w:spacing w:line="360" w:lineRule="exact"/>
              <w:jc w:val="left"/>
              <w:rPr>
                <w:rFonts w:hint="eastAsia" w:ascii="仿宋_GB2312" w:hAnsi="仿宋_GB2312" w:eastAsia="仿宋_GB2312" w:cs="仿宋_GB2312"/>
                <w:sz w:val="20"/>
                <w:szCs w:val="20"/>
                <w:highlight w:val="none"/>
              </w:rPr>
            </w:pPr>
          </w:p>
        </w:tc>
        <w:tc>
          <w:tcPr>
            <w:tcW w:w="2038" w:type="dxa"/>
            <w:gridSpan w:val="2"/>
            <w:tcBorders>
              <w:top w:val="single" w:color="auto" w:sz="4" w:space="0"/>
              <w:left w:val="nil"/>
              <w:bottom w:val="single" w:color="auto" w:sz="4" w:space="0"/>
              <w:right w:val="single" w:color="auto" w:sz="4" w:space="0"/>
            </w:tcBorders>
            <w:noWrap w:val="0"/>
            <w:vAlign w:val="center"/>
          </w:tcPr>
          <w:p w14:paraId="0B5027A0">
            <w:pPr>
              <w:widowControl/>
              <w:spacing w:line="360" w:lineRule="exact"/>
              <w:jc w:val="center"/>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lang w:val="en-US" w:eastAsia="zh-CN"/>
              </w:rPr>
              <w:t>48</w:t>
            </w:r>
            <w:r>
              <w:rPr>
                <w:rFonts w:hint="eastAsia" w:ascii="仿宋_GB2312" w:hAnsi="仿宋_GB2312" w:eastAsia="仿宋_GB2312" w:cs="仿宋_GB2312"/>
                <w:sz w:val="20"/>
                <w:szCs w:val="20"/>
                <w:highlight w:val="none"/>
              </w:rPr>
              <w:t>　</w:t>
            </w:r>
          </w:p>
        </w:tc>
        <w:tc>
          <w:tcPr>
            <w:tcW w:w="2240" w:type="dxa"/>
            <w:gridSpan w:val="2"/>
            <w:tcBorders>
              <w:top w:val="single" w:color="auto" w:sz="4" w:space="0"/>
              <w:left w:val="nil"/>
              <w:bottom w:val="single" w:color="auto" w:sz="4" w:space="0"/>
              <w:right w:val="single" w:color="auto" w:sz="4" w:space="0"/>
            </w:tcBorders>
            <w:noWrap w:val="0"/>
            <w:vAlign w:val="center"/>
          </w:tcPr>
          <w:p w14:paraId="2F3A3CC0">
            <w:pPr>
              <w:widowControl/>
              <w:spacing w:line="360" w:lineRule="exact"/>
              <w:jc w:val="center"/>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lang w:val="en-US" w:eastAsia="zh-CN"/>
              </w:rPr>
              <w:t>46</w:t>
            </w:r>
            <w:r>
              <w:rPr>
                <w:rFonts w:hint="eastAsia" w:ascii="仿宋_GB2312" w:hAnsi="仿宋_GB2312" w:eastAsia="仿宋_GB2312" w:cs="仿宋_GB2312"/>
                <w:sz w:val="20"/>
                <w:szCs w:val="20"/>
                <w:highlight w:val="none"/>
              </w:rPr>
              <w:t>　</w:t>
            </w:r>
          </w:p>
        </w:tc>
        <w:tc>
          <w:tcPr>
            <w:tcW w:w="2041" w:type="dxa"/>
            <w:gridSpan w:val="2"/>
            <w:tcBorders>
              <w:top w:val="single" w:color="auto" w:sz="4" w:space="0"/>
              <w:left w:val="nil"/>
              <w:bottom w:val="single" w:color="auto" w:sz="4" w:space="0"/>
              <w:right w:val="single" w:color="auto" w:sz="4" w:space="0"/>
            </w:tcBorders>
            <w:noWrap w:val="0"/>
            <w:vAlign w:val="center"/>
          </w:tcPr>
          <w:p w14:paraId="26B0B211">
            <w:pPr>
              <w:widowControl/>
              <w:spacing w:line="360" w:lineRule="exact"/>
              <w:jc w:val="center"/>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lang w:val="en-US" w:eastAsia="zh-CN"/>
              </w:rPr>
              <w:t>95.83%</w:t>
            </w:r>
            <w:r>
              <w:rPr>
                <w:rFonts w:hint="eastAsia" w:ascii="仿宋_GB2312" w:hAnsi="仿宋_GB2312" w:eastAsia="仿宋_GB2312" w:cs="仿宋_GB2312"/>
                <w:sz w:val="20"/>
                <w:szCs w:val="20"/>
                <w:highlight w:val="none"/>
              </w:rPr>
              <w:t>　</w:t>
            </w:r>
          </w:p>
        </w:tc>
      </w:tr>
      <w:tr w14:paraId="3A3C0C4C">
        <w:tblPrEx>
          <w:tblCellMar>
            <w:top w:w="0" w:type="dxa"/>
            <w:left w:w="108" w:type="dxa"/>
            <w:bottom w:w="0" w:type="dxa"/>
            <w:right w:w="108" w:type="dxa"/>
          </w:tblCellMar>
        </w:tblPrEx>
        <w:trPr>
          <w:trHeight w:val="0" w:hRule="atLeast"/>
          <w:jc w:val="center"/>
        </w:trPr>
        <w:tc>
          <w:tcPr>
            <w:tcW w:w="3354" w:type="dxa"/>
            <w:tcBorders>
              <w:top w:val="nil"/>
              <w:left w:val="single" w:color="auto" w:sz="4" w:space="0"/>
              <w:bottom w:val="single" w:color="auto" w:sz="4" w:space="0"/>
              <w:right w:val="single" w:color="auto" w:sz="4" w:space="0"/>
            </w:tcBorders>
            <w:noWrap w:val="0"/>
            <w:vAlign w:val="center"/>
          </w:tcPr>
          <w:p w14:paraId="56BAF079">
            <w:pPr>
              <w:widowControl/>
              <w:spacing w:line="360" w:lineRule="exact"/>
              <w:jc w:val="center"/>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经费控制情况（万元）</w:t>
            </w:r>
          </w:p>
        </w:tc>
        <w:tc>
          <w:tcPr>
            <w:tcW w:w="2038" w:type="dxa"/>
            <w:gridSpan w:val="2"/>
            <w:tcBorders>
              <w:top w:val="single" w:color="auto" w:sz="4" w:space="0"/>
              <w:left w:val="nil"/>
              <w:bottom w:val="single" w:color="auto" w:sz="4" w:space="0"/>
              <w:right w:val="single" w:color="000000" w:sz="4" w:space="0"/>
            </w:tcBorders>
            <w:noWrap w:val="0"/>
            <w:vAlign w:val="center"/>
          </w:tcPr>
          <w:p w14:paraId="661BC12C">
            <w:pPr>
              <w:widowControl/>
              <w:spacing w:line="360" w:lineRule="exact"/>
              <w:jc w:val="center"/>
              <w:rPr>
                <w:rFonts w:hint="eastAsia" w:ascii="仿宋_GB2312" w:hAnsi="仿宋_GB2312" w:eastAsia="仿宋_GB2312" w:cs="仿宋_GB2312"/>
                <w:b/>
                <w:bCs/>
                <w:sz w:val="20"/>
                <w:szCs w:val="20"/>
                <w:highlight w:val="none"/>
              </w:rPr>
            </w:pPr>
            <w:r>
              <w:rPr>
                <w:rFonts w:hint="eastAsia" w:ascii="仿宋_GB2312" w:hAnsi="仿宋_GB2312" w:eastAsia="仿宋_GB2312" w:cs="仿宋_GB2312"/>
                <w:b/>
                <w:bCs/>
                <w:sz w:val="20"/>
                <w:szCs w:val="20"/>
                <w:highlight w:val="none"/>
              </w:rPr>
              <w:t>202</w:t>
            </w:r>
            <w:r>
              <w:rPr>
                <w:rFonts w:hint="eastAsia" w:ascii="仿宋_GB2312" w:hAnsi="仿宋_GB2312" w:eastAsia="仿宋_GB2312" w:cs="仿宋_GB2312"/>
                <w:b/>
                <w:bCs/>
                <w:sz w:val="20"/>
                <w:szCs w:val="20"/>
                <w:highlight w:val="none"/>
                <w:lang w:val="en-US" w:eastAsia="zh-CN"/>
              </w:rPr>
              <w:t>3</w:t>
            </w:r>
            <w:r>
              <w:rPr>
                <w:rFonts w:hint="eastAsia" w:ascii="仿宋_GB2312" w:hAnsi="仿宋_GB2312" w:eastAsia="仿宋_GB2312" w:cs="仿宋_GB2312"/>
                <w:b/>
                <w:bCs/>
                <w:sz w:val="20"/>
                <w:szCs w:val="20"/>
                <w:highlight w:val="none"/>
              </w:rPr>
              <w:t>年决算数</w:t>
            </w:r>
          </w:p>
        </w:tc>
        <w:tc>
          <w:tcPr>
            <w:tcW w:w="2240" w:type="dxa"/>
            <w:gridSpan w:val="2"/>
            <w:tcBorders>
              <w:top w:val="single" w:color="auto" w:sz="4" w:space="0"/>
              <w:left w:val="nil"/>
              <w:bottom w:val="single" w:color="auto" w:sz="4" w:space="0"/>
              <w:right w:val="single" w:color="000000" w:sz="4" w:space="0"/>
            </w:tcBorders>
            <w:noWrap w:val="0"/>
            <w:vAlign w:val="center"/>
          </w:tcPr>
          <w:p w14:paraId="4097402C">
            <w:pPr>
              <w:widowControl/>
              <w:spacing w:line="360" w:lineRule="exact"/>
              <w:jc w:val="center"/>
              <w:rPr>
                <w:rFonts w:hint="eastAsia" w:ascii="仿宋_GB2312" w:hAnsi="仿宋_GB2312" w:eastAsia="仿宋_GB2312" w:cs="仿宋_GB2312"/>
                <w:b/>
                <w:bCs/>
                <w:sz w:val="20"/>
                <w:szCs w:val="20"/>
                <w:highlight w:val="none"/>
              </w:rPr>
            </w:pPr>
            <w:r>
              <w:rPr>
                <w:rFonts w:hint="eastAsia" w:ascii="仿宋_GB2312" w:hAnsi="仿宋_GB2312" w:eastAsia="仿宋_GB2312" w:cs="仿宋_GB2312"/>
                <w:b/>
                <w:bCs/>
                <w:sz w:val="20"/>
                <w:szCs w:val="20"/>
                <w:highlight w:val="none"/>
              </w:rPr>
              <w:t>202</w:t>
            </w:r>
            <w:r>
              <w:rPr>
                <w:rFonts w:hint="eastAsia" w:ascii="仿宋_GB2312" w:hAnsi="仿宋_GB2312" w:eastAsia="仿宋_GB2312" w:cs="仿宋_GB2312"/>
                <w:b/>
                <w:bCs/>
                <w:sz w:val="20"/>
                <w:szCs w:val="20"/>
                <w:highlight w:val="none"/>
                <w:lang w:val="en-US" w:eastAsia="zh-CN"/>
              </w:rPr>
              <w:t>4</w:t>
            </w:r>
            <w:r>
              <w:rPr>
                <w:rFonts w:hint="eastAsia" w:ascii="仿宋_GB2312" w:hAnsi="仿宋_GB2312" w:eastAsia="仿宋_GB2312" w:cs="仿宋_GB2312"/>
                <w:b/>
                <w:bCs/>
                <w:sz w:val="20"/>
                <w:szCs w:val="20"/>
                <w:highlight w:val="none"/>
              </w:rPr>
              <w:t>年预算数</w:t>
            </w:r>
          </w:p>
        </w:tc>
        <w:tc>
          <w:tcPr>
            <w:tcW w:w="2041" w:type="dxa"/>
            <w:gridSpan w:val="2"/>
            <w:tcBorders>
              <w:top w:val="single" w:color="auto" w:sz="4" w:space="0"/>
              <w:left w:val="nil"/>
              <w:bottom w:val="single" w:color="auto" w:sz="4" w:space="0"/>
              <w:right w:val="single" w:color="000000" w:sz="4" w:space="0"/>
            </w:tcBorders>
            <w:noWrap w:val="0"/>
            <w:vAlign w:val="center"/>
          </w:tcPr>
          <w:p w14:paraId="6C669C86">
            <w:pPr>
              <w:widowControl/>
              <w:spacing w:line="360" w:lineRule="exact"/>
              <w:jc w:val="center"/>
              <w:rPr>
                <w:rFonts w:hint="eastAsia" w:ascii="仿宋_GB2312" w:hAnsi="仿宋_GB2312" w:eastAsia="仿宋_GB2312" w:cs="仿宋_GB2312"/>
                <w:b/>
                <w:bCs/>
                <w:sz w:val="20"/>
                <w:szCs w:val="20"/>
                <w:highlight w:val="none"/>
              </w:rPr>
            </w:pPr>
            <w:r>
              <w:rPr>
                <w:rFonts w:hint="eastAsia" w:ascii="仿宋_GB2312" w:hAnsi="仿宋_GB2312" w:eastAsia="仿宋_GB2312" w:cs="仿宋_GB2312"/>
                <w:b/>
                <w:bCs/>
                <w:sz w:val="20"/>
                <w:szCs w:val="20"/>
                <w:highlight w:val="none"/>
              </w:rPr>
              <w:t>202</w:t>
            </w:r>
            <w:r>
              <w:rPr>
                <w:rFonts w:hint="eastAsia" w:ascii="仿宋_GB2312" w:hAnsi="仿宋_GB2312" w:eastAsia="仿宋_GB2312" w:cs="仿宋_GB2312"/>
                <w:b/>
                <w:bCs/>
                <w:sz w:val="20"/>
                <w:szCs w:val="20"/>
                <w:highlight w:val="none"/>
                <w:lang w:val="en-US" w:eastAsia="zh-CN"/>
              </w:rPr>
              <w:t>4</w:t>
            </w:r>
            <w:r>
              <w:rPr>
                <w:rFonts w:hint="eastAsia" w:ascii="仿宋_GB2312" w:hAnsi="仿宋_GB2312" w:eastAsia="仿宋_GB2312" w:cs="仿宋_GB2312"/>
                <w:b/>
                <w:bCs/>
                <w:sz w:val="20"/>
                <w:szCs w:val="20"/>
                <w:highlight w:val="none"/>
              </w:rPr>
              <w:t>年决算数</w:t>
            </w:r>
          </w:p>
        </w:tc>
      </w:tr>
      <w:tr w14:paraId="78335298">
        <w:tblPrEx>
          <w:tblCellMar>
            <w:top w:w="0" w:type="dxa"/>
            <w:left w:w="108" w:type="dxa"/>
            <w:bottom w:w="0" w:type="dxa"/>
            <w:right w:w="108" w:type="dxa"/>
          </w:tblCellMar>
        </w:tblPrEx>
        <w:trPr>
          <w:trHeight w:val="0" w:hRule="atLeast"/>
          <w:jc w:val="center"/>
        </w:trPr>
        <w:tc>
          <w:tcPr>
            <w:tcW w:w="3354" w:type="dxa"/>
            <w:tcBorders>
              <w:top w:val="nil"/>
              <w:left w:val="single" w:color="auto" w:sz="4" w:space="0"/>
              <w:bottom w:val="single" w:color="auto" w:sz="4" w:space="0"/>
              <w:right w:val="single" w:color="auto" w:sz="4" w:space="0"/>
            </w:tcBorders>
            <w:noWrap w:val="0"/>
            <w:vAlign w:val="center"/>
          </w:tcPr>
          <w:p w14:paraId="7ACB880D">
            <w:pPr>
              <w:widowControl/>
              <w:spacing w:line="360" w:lineRule="exact"/>
              <w:jc w:val="left"/>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三公经费</w:t>
            </w:r>
          </w:p>
        </w:tc>
        <w:tc>
          <w:tcPr>
            <w:tcW w:w="2038" w:type="dxa"/>
            <w:gridSpan w:val="2"/>
            <w:tcBorders>
              <w:top w:val="single" w:color="auto" w:sz="4" w:space="0"/>
              <w:left w:val="nil"/>
              <w:bottom w:val="single" w:color="auto" w:sz="4" w:space="0"/>
              <w:right w:val="single" w:color="000000" w:sz="4" w:space="0"/>
            </w:tcBorders>
            <w:noWrap w:val="0"/>
            <w:vAlign w:val="center"/>
          </w:tcPr>
          <w:p w14:paraId="30F1E374">
            <w:pPr>
              <w:widowControl/>
              <w:spacing w:line="360" w:lineRule="exact"/>
              <w:jc w:val="center"/>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lang w:val="en-US" w:eastAsia="zh-CN"/>
              </w:rPr>
              <w:t>40.87</w:t>
            </w:r>
            <w:r>
              <w:rPr>
                <w:rFonts w:hint="eastAsia" w:ascii="仿宋_GB2312" w:hAnsi="仿宋_GB2312" w:eastAsia="仿宋_GB2312" w:cs="仿宋_GB2312"/>
                <w:sz w:val="20"/>
                <w:szCs w:val="20"/>
                <w:highlight w:val="none"/>
              </w:rPr>
              <w:t>　</w:t>
            </w:r>
          </w:p>
        </w:tc>
        <w:tc>
          <w:tcPr>
            <w:tcW w:w="2240" w:type="dxa"/>
            <w:gridSpan w:val="2"/>
            <w:tcBorders>
              <w:top w:val="single" w:color="auto" w:sz="4" w:space="0"/>
              <w:left w:val="nil"/>
              <w:bottom w:val="single" w:color="auto" w:sz="4" w:space="0"/>
              <w:right w:val="single" w:color="000000" w:sz="4" w:space="0"/>
            </w:tcBorders>
            <w:noWrap w:val="0"/>
            <w:vAlign w:val="center"/>
          </w:tcPr>
          <w:p w14:paraId="2503D384">
            <w:pPr>
              <w:widowControl/>
              <w:spacing w:line="360" w:lineRule="exact"/>
              <w:jc w:val="center"/>
              <w:rPr>
                <w:rFonts w:hint="default"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rPr>
              <w:t>　</w:t>
            </w:r>
            <w:r>
              <w:rPr>
                <w:rFonts w:hint="eastAsia" w:ascii="仿宋_GB2312" w:hAnsi="仿宋_GB2312" w:eastAsia="仿宋_GB2312" w:cs="仿宋_GB2312"/>
                <w:sz w:val="20"/>
                <w:szCs w:val="20"/>
                <w:highlight w:val="none"/>
                <w:lang w:val="en-US" w:eastAsia="zh-CN"/>
              </w:rPr>
              <w:t>115</w:t>
            </w:r>
          </w:p>
        </w:tc>
        <w:tc>
          <w:tcPr>
            <w:tcW w:w="2041" w:type="dxa"/>
            <w:gridSpan w:val="2"/>
            <w:tcBorders>
              <w:top w:val="single" w:color="auto" w:sz="4" w:space="0"/>
              <w:left w:val="nil"/>
              <w:bottom w:val="single" w:color="auto" w:sz="4" w:space="0"/>
              <w:right w:val="single" w:color="000000" w:sz="4" w:space="0"/>
            </w:tcBorders>
            <w:noWrap w:val="0"/>
            <w:vAlign w:val="center"/>
          </w:tcPr>
          <w:p w14:paraId="3D461597">
            <w:pPr>
              <w:widowControl/>
              <w:spacing w:line="360" w:lineRule="exact"/>
              <w:jc w:val="center"/>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lang w:val="en-US" w:eastAsia="zh-CN"/>
              </w:rPr>
              <w:t>32.29</w:t>
            </w:r>
            <w:r>
              <w:rPr>
                <w:rFonts w:hint="eastAsia" w:ascii="仿宋_GB2312" w:hAnsi="仿宋_GB2312" w:eastAsia="仿宋_GB2312" w:cs="仿宋_GB2312"/>
                <w:sz w:val="20"/>
                <w:szCs w:val="20"/>
                <w:highlight w:val="none"/>
              </w:rPr>
              <w:t>　</w:t>
            </w:r>
          </w:p>
        </w:tc>
      </w:tr>
      <w:tr w14:paraId="67CBC4BD">
        <w:tblPrEx>
          <w:tblCellMar>
            <w:top w:w="0" w:type="dxa"/>
            <w:left w:w="108" w:type="dxa"/>
            <w:bottom w:w="0" w:type="dxa"/>
            <w:right w:w="108" w:type="dxa"/>
          </w:tblCellMar>
        </w:tblPrEx>
        <w:trPr>
          <w:trHeight w:val="0" w:hRule="atLeast"/>
          <w:jc w:val="center"/>
        </w:trPr>
        <w:tc>
          <w:tcPr>
            <w:tcW w:w="3354" w:type="dxa"/>
            <w:tcBorders>
              <w:top w:val="nil"/>
              <w:left w:val="single" w:color="auto" w:sz="4" w:space="0"/>
              <w:bottom w:val="single" w:color="auto" w:sz="4" w:space="0"/>
              <w:right w:val="single" w:color="auto" w:sz="4" w:space="0"/>
            </w:tcBorders>
            <w:noWrap w:val="0"/>
            <w:vAlign w:val="center"/>
          </w:tcPr>
          <w:p w14:paraId="327E0FEC">
            <w:pPr>
              <w:widowControl/>
              <w:spacing w:line="360" w:lineRule="exact"/>
              <w:jc w:val="left"/>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 xml:space="preserve">   1、公务用车购置和维护经费</w:t>
            </w:r>
          </w:p>
        </w:tc>
        <w:tc>
          <w:tcPr>
            <w:tcW w:w="2038" w:type="dxa"/>
            <w:gridSpan w:val="2"/>
            <w:tcBorders>
              <w:top w:val="single" w:color="auto" w:sz="4" w:space="0"/>
              <w:left w:val="nil"/>
              <w:bottom w:val="single" w:color="auto" w:sz="4" w:space="0"/>
              <w:right w:val="single" w:color="000000" w:sz="4" w:space="0"/>
            </w:tcBorders>
            <w:noWrap w:val="0"/>
            <w:vAlign w:val="center"/>
          </w:tcPr>
          <w:p w14:paraId="252D1DB6">
            <w:pPr>
              <w:widowControl/>
              <w:spacing w:line="360" w:lineRule="exact"/>
              <w:jc w:val="center"/>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lang w:val="en-US" w:eastAsia="zh-CN"/>
              </w:rPr>
              <w:t>39.44</w:t>
            </w:r>
            <w:r>
              <w:rPr>
                <w:rFonts w:hint="eastAsia" w:ascii="仿宋_GB2312" w:hAnsi="仿宋_GB2312" w:eastAsia="仿宋_GB2312" w:cs="仿宋_GB2312"/>
                <w:sz w:val="20"/>
                <w:szCs w:val="20"/>
                <w:highlight w:val="none"/>
              </w:rPr>
              <w:t>　</w:t>
            </w:r>
          </w:p>
        </w:tc>
        <w:tc>
          <w:tcPr>
            <w:tcW w:w="2240" w:type="dxa"/>
            <w:gridSpan w:val="2"/>
            <w:tcBorders>
              <w:top w:val="single" w:color="auto" w:sz="4" w:space="0"/>
              <w:left w:val="nil"/>
              <w:bottom w:val="single" w:color="auto" w:sz="4" w:space="0"/>
              <w:right w:val="single" w:color="000000" w:sz="4" w:space="0"/>
            </w:tcBorders>
            <w:noWrap w:val="0"/>
            <w:vAlign w:val="center"/>
          </w:tcPr>
          <w:p w14:paraId="62E6FE59">
            <w:pPr>
              <w:widowControl/>
              <w:spacing w:line="360" w:lineRule="exact"/>
              <w:jc w:val="center"/>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lang w:val="en-US" w:eastAsia="zh-CN"/>
              </w:rPr>
              <w:t>110</w:t>
            </w:r>
            <w:r>
              <w:rPr>
                <w:rFonts w:hint="eastAsia" w:ascii="仿宋_GB2312" w:hAnsi="仿宋_GB2312" w:eastAsia="仿宋_GB2312" w:cs="仿宋_GB2312"/>
                <w:sz w:val="20"/>
                <w:szCs w:val="20"/>
                <w:highlight w:val="none"/>
              </w:rPr>
              <w:t>　</w:t>
            </w:r>
          </w:p>
        </w:tc>
        <w:tc>
          <w:tcPr>
            <w:tcW w:w="2041" w:type="dxa"/>
            <w:gridSpan w:val="2"/>
            <w:tcBorders>
              <w:top w:val="single" w:color="auto" w:sz="4" w:space="0"/>
              <w:left w:val="nil"/>
              <w:bottom w:val="single" w:color="auto" w:sz="4" w:space="0"/>
              <w:right w:val="single" w:color="000000" w:sz="4" w:space="0"/>
            </w:tcBorders>
            <w:noWrap w:val="0"/>
            <w:vAlign w:val="center"/>
          </w:tcPr>
          <w:p w14:paraId="0836726A">
            <w:pPr>
              <w:widowControl/>
              <w:spacing w:line="360" w:lineRule="exact"/>
              <w:jc w:val="center"/>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lang w:val="en-US" w:eastAsia="zh-CN"/>
              </w:rPr>
              <w:t>31.1</w:t>
            </w:r>
            <w:r>
              <w:rPr>
                <w:rFonts w:hint="eastAsia" w:ascii="仿宋_GB2312" w:hAnsi="仿宋_GB2312" w:eastAsia="仿宋_GB2312" w:cs="仿宋_GB2312"/>
                <w:sz w:val="20"/>
                <w:szCs w:val="20"/>
                <w:highlight w:val="none"/>
              </w:rPr>
              <w:t>　</w:t>
            </w:r>
          </w:p>
        </w:tc>
      </w:tr>
      <w:tr w14:paraId="4D2CBAE1">
        <w:tblPrEx>
          <w:tblCellMar>
            <w:top w:w="0" w:type="dxa"/>
            <w:left w:w="108" w:type="dxa"/>
            <w:bottom w:w="0" w:type="dxa"/>
            <w:right w:w="108" w:type="dxa"/>
          </w:tblCellMar>
        </w:tblPrEx>
        <w:trPr>
          <w:trHeight w:val="0" w:hRule="atLeast"/>
          <w:jc w:val="center"/>
        </w:trPr>
        <w:tc>
          <w:tcPr>
            <w:tcW w:w="3354" w:type="dxa"/>
            <w:tcBorders>
              <w:top w:val="nil"/>
              <w:left w:val="single" w:color="auto" w:sz="4" w:space="0"/>
              <w:bottom w:val="single" w:color="auto" w:sz="4" w:space="0"/>
              <w:right w:val="single" w:color="auto" w:sz="4" w:space="0"/>
            </w:tcBorders>
            <w:noWrap w:val="0"/>
            <w:vAlign w:val="center"/>
          </w:tcPr>
          <w:p w14:paraId="052F1607">
            <w:pPr>
              <w:widowControl/>
              <w:spacing w:line="360" w:lineRule="exact"/>
              <w:jc w:val="left"/>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 xml:space="preserve">      其中：公车购置</w:t>
            </w:r>
          </w:p>
        </w:tc>
        <w:tc>
          <w:tcPr>
            <w:tcW w:w="2038" w:type="dxa"/>
            <w:gridSpan w:val="2"/>
            <w:tcBorders>
              <w:top w:val="single" w:color="auto" w:sz="4" w:space="0"/>
              <w:left w:val="nil"/>
              <w:bottom w:val="single" w:color="auto" w:sz="4" w:space="0"/>
              <w:right w:val="single" w:color="000000" w:sz="4" w:space="0"/>
            </w:tcBorders>
            <w:noWrap w:val="0"/>
            <w:vAlign w:val="center"/>
          </w:tcPr>
          <w:p w14:paraId="02571D74">
            <w:pPr>
              <w:widowControl/>
              <w:spacing w:line="360" w:lineRule="exact"/>
              <w:jc w:val="center"/>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lang w:val="en-US" w:eastAsia="zh-CN"/>
              </w:rPr>
              <w:t>17.98</w:t>
            </w:r>
            <w:r>
              <w:rPr>
                <w:rFonts w:hint="eastAsia" w:ascii="仿宋_GB2312" w:hAnsi="仿宋_GB2312" w:eastAsia="仿宋_GB2312" w:cs="仿宋_GB2312"/>
                <w:sz w:val="20"/>
                <w:szCs w:val="20"/>
                <w:highlight w:val="none"/>
              </w:rPr>
              <w:t>　</w:t>
            </w:r>
          </w:p>
        </w:tc>
        <w:tc>
          <w:tcPr>
            <w:tcW w:w="2240" w:type="dxa"/>
            <w:gridSpan w:val="2"/>
            <w:tcBorders>
              <w:top w:val="single" w:color="auto" w:sz="4" w:space="0"/>
              <w:left w:val="nil"/>
              <w:bottom w:val="single" w:color="auto" w:sz="4" w:space="0"/>
              <w:right w:val="single" w:color="000000" w:sz="4" w:space="0"/>
            </w:tcBorders>
            <w:noWrap w:val="0"/>
            <w:vAlign w:val="center"/>
          </w:tcPr>
          <w:p w14:paraId="0ABB203C">
            <w:pPr>
              <w:widowControl/>
              <w:spacing w:line="360" w:lineRule="exact"/>
              <w:jc w:val="center"/>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lang w:val="en-US" w:eastAsia="zh-CN"/>
              </w:rPr>
              <w:t>80</w:t>
            </w:r>
            <w:r>
              <w:rPr>
                <w:rFonts w:hint="eastAsia" w:ascii="仿宋_GB2312" w:hAnsi="仿宋_GB2312" w:eastAsia="仿宋_GB2312" w:cs="仿宋_GB2312"/>
                <w:sz w:val="20"/>
                <w:szCs w:val="20"/>
                <w:highlight w:val="none"/>
              </w:rPr>
              <w:t>　</w:t>
            </w:r>
          </w:p>
        </w:tc>
        <w:tc>
          <w:tcPr>
            <w:tcW w:w="2041" w:type="dxa"/>
            <w:gridSpan w:val="2"/>
            <w:tcBorders>
              <w:top w:val="single" w:color="auto" w:sz="4" w:space="0"/>
              <w:left w:val="nil"/>
              <w:bottom w:val="single" w:color="auto" w:sz="4" w:space="0"/>
              <w:right w:val="single" w:color="000000" w:sz="4" w:space="0"/>
            </w:tcBorders>
            <w:noWrap w:val="0"/>
            <w:vAlign w:val="center"/>
          </w:tcPr>
          <w:p w14:paraId="52FF7F11">
            <w:pPr>
              <w:widowControl/>
              <w:spacing w:line="360" w:lineRule="exact"/>
              <w:jc w:val="center"/>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lang w:val="en-US" w:eastAsia="zh-CN"/>
              </w:rPr>
              <w:t>0</w:t>
            </w:r>
            <w:r>
              <w:rPr>
                <w:rFonts w:hint="eastAsia" w:ascii="仿宋_GB2312" w:hAnsi="仿宋_GB2312" w:eastAsia="仿宋_GB2312" w:cs="仿宋_GB2312"/>
                <w:sz w:val="20"/>
                <w:szCs w:val="20"/>
                <w:highlight w:val="none"/>
              </w:rPr>
              <w:t>　</w:t>
            </w:r>
          </w:p>
        </w:tc>
      </w:tr>
      <w:tr w14:paraId="3E34610D">
        <w:tblPrEx>
          <w:tblCellMar>
            <w:top w:w="0" w:type="dxa"/>
            <w:left w:w="108" w:type="dxa"/>
            <w:bottom w:w="0" w:type="dxa"/>
            <w:right w:w="108" w:type="dxa"/>
          </w:tblCellMar>
        </w:tblPrEx>
        <w:trPr>
          <w:trHeight w:val="0" w:hRule="atLeast"/>
          <w:jc w:val="center"/>
        </w:trPr>
        <w:tc>
          <w:tcPr>
            <w:tcW w:w="3354" w:type="dxa"/>
            <w:tcBorders>
              <w:top w:val="nil"/>
              <w:left w:val="single" w:color="auto" w:sz="4" w:space="0"/>
              <w:bottom w:val="single" w:color="auto" w:sz="4" w:space="0"/>
              <w:right w:val="single" w:color="auto" w:sz="4" w:space="0"/>
            </w:tcBorders>
            <w:noWrap w:val="0"/>
            <w:vAlign w:val="center"/>
          </w:tcPr>
          <w:p w14:paraId="2FD79AE0">
            <w:pPr>
              <w:widowControl/>
              <w:spacing w:line="360" w:lineRule="exact"/>
              <w:jc w:val="left"/>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 xml:space="preserve">            公车运行维护</w:t>
            </w:r>
          </w:p>
        </w:tc>
        <w:tc>
          <w:tcPr>
            <w:tcW w:w="2038" w:type="dxa"/>
            <w:gridSpan w:val="2"/>
            <w:tcBorders>
              <w:top w:val="single" w:color="auto" w:sz="4" w:space="0"/>
              <w:left w:val="nil"/>
              <w:bottom w:val="single" w:color="auto" w:sz="4" w:space="0"/>
              <w:right w:val="single" w:color="000000" w:sz="4" w:space="0"/>
            </w:tcBorders>
            <w:noWrap w:val="0"/>
            <w:vAlign w:val="center"/>
          </w:tcPr>
          <w:p w14:paraId="301F8DCE">
            <w:pPr>
              <w:widowControl/>
              <w:spacing w:line="360" w:lineRule="exact"/>
              <w:jc w:val="center"/>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lang w:val="en-US" w:eastAsia="zh-CN"/>
              </w:rPr>
              <w:t>21.46</w:t>
            </w:r>
            <w:r>
              <w:rPr>
                <w:rFonts w:hint="eastAsia" w:ascii="仿宋_GB2312" w:hAnsi="仿宋_GB2312" w:eastAsia="仿宋_GB2312" w:cs="仿宋_GB2312"/>
                <w:sz w:val="20"/>
                <w:szCs w:val="20"/>
                <w:highlight w:val="none"/>
              </w:rPr>
              <w:t>　</w:t>
            </w:r>
          </w:p>
        </w:tc>
        <w:tc>
          <w:tcPr>
            <w:tcW w:w="2240" w:type="dxa"/>
            <w:gridSpan w:val="2"/>
            <w:tcBorders>
              <w:top w:val="single" w:color="auto" w:sz="4" w:space="0"/>
              <w:left w:val="nil"/>
              <w:bottom w:val="single" w:color="auto" w:sz="4" w:space="0"/>
              <w:right w:val="single" w:color="000000" w:sz="4" w:space="0"/>
            </w:tcBorders>
            <w:noWrap w:val="0"/>
            <w:vAlign w:val="center"/>
          </w:tcPr>
          <w:p w14:paraId="434D0753">
            <w:pPr>
              <w:widowControl/>
              <w:spacing w:line="360" w:lineRule="exact"/>
              <w:jc w:val="center"/>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lang w:val="en-US" w:eastAsia="zh-CN"/>
              </w:rPr>
              <w:t>30</w:t>
            </w:r>
            <w:r>
              <w:rPr>
                <w:rFonts w:hint="eastAsia" w:ascii="仿宋_GB2312" w:hAnsi="仿宋_GB2312" w:eastAsia="仿宋_GB2312" w:cs="仿宋_GB2312"/>
                <w:sz w:val="20"/>
                <w:szCs w:val="20"/>
                <w:highlight w:val="none"/>
              </w:rPr>
              <w:t>　</w:t>
            </w:r>
          </w:p>
        </w:tc>
        <w:tc>
          <w:tcPr>
            <w:tcW w:w="2041" w:type="dxa"/>
            <w:gridSpan w:val="2"/>
            <w:tcBorders>
              <w:top w:val="single" w:color="auto" w:sz="4" w:space="0"/>
              <w:left w:val="nil"/>
              <w:bottom w:val="single" w:color="auto" w:sz="4" w:space="0"/>
              <w:right w:val="single" w:color="000000" w:sz="4" w:space="0"/>
            </w:tcBorders>
            <w:noWrap w:val="0"/>
            <w:vAlign w:val="center"/>
          </w:tcPr>
          <w:p w14:paraId="47581049">
            <w:pPr>
              <w:widowControl/>
              <w:spacing w:line="360" w:lineRule="exact"/>
              <w:jc w:val="center"/>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lang w:val="en-US" w:eastAsia="zh-CN"/>
              </w:rPr>
              <w:t>31.1</w:t>
            </w:r>
            <w:r>
              <w:rPr>
                <w:rFonts w:hint="eastAsia" w:ascii="仿宋_GB2312" w:hAnsi="仿宋_GB2312" w:eastAsia="仿宋_GB2312" w:cs="仿宋_GB2312"/>
                <w:sz w:val="20"/>
                <w:szCs w:val="20"/>
                <w:highlight w:val="none"/>
              </w:rPr>
              <w:t>　</w:t>
            </w:r>
          </w:p>
        </w:tc>
      </w:tr>
      <w:tr w14:paraId="3E563356">
        <w:tblPrEx>
          <w:tblCellMar>
            <w:top w:w="0" w:type="dxa"/>
            <w:left w:w="108" w:type="dxa"/>
            <w:bottom w:w="0" w:type="dxa"/>
            <w:right w:w="108" w:type="dxa"/>
          </w:tblCellMar>
        </w:tblPrEx>
        <w:trPr>
          <w:trHeight w:val="0" w:hRule="atLeast"/>
          <w:jc w:val="center"/>
        </w:trPr>
        <w:tc>
          <w:tcPr>
            <w:tcW w:w="3354" w:type="dxa"/>
            <w:tcBorders>
              <w:top w:val="nil"/>
              <w:left w:val="single" w:color="auto" w:sz="4" w:space="0"/>
              <w:bottom w:val="single" w:color="auto" w:sz="4" w:space="0"/>
              <w:right w:val="single" w:color="auto" w:sz="4" w:space="0"/>
            </w:tcBorders>
            <w:noWrap w:val="0"/>
            <w:vAlign w:val="center"/>
          </w:tcPr>
          <w:p w14:paraId="547401C0">
            <w:pPr>
              <w:widowControl/>
              <w:spacing w:line="360" w:lineRule="exact"/>
              <w:jc w:val="left"/>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 xml:space="preserve">   2、出国经费</w:t>
            </w:r>
          </w:p>
        </w:tc>
        <w:tc>
          <w:tcPr>
            <w:tcW w:w="2038" w:type="dxa"/>
            <w:gridSpan w:val="2"/>
            <w:tcBorders>
              <w:top w:val="single" w:color="auto" w:sz="4" w:space="0"/>
              <w:left w:val="nil"/>
              <w:bottom w:val="single" w:color="auto" w:sz="4" w:space="0"/>
              <w:right w:val="single" w:color="000000" w:sz="4" w:space="0"/>
            </w:tcBorders>
            <w:noWrap w:val="0"/>
            <w:vAlign w:val="center"/>
          </w:tcPr>
          <w:p w14:paraId="2602787C">
            <w:pPr>
              <w:widowControl/>
              <w:spacing w:line="360" w:lineRule="exact"/>
              <w:jc w:val="center"/>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　</w:t>
            </w:r>
          </w:p>
        </w:tc>
        <w:tc>
          <w:tcPr>
            <w:tcW w:w="2240" w:type="dxa"/>
            <w:gridSpan w:val="2"/>
            <w:tcBorders>
              <w:top w:val="single" w:color="auto" w:sz="4" w:space="0"/>
              <w:left w:val="nil"/>
              <w:bottom w:val="single" w:color="auto" w:sz="4" w:space="0"/>
              <w:right w:val="single" w:color="000000" w:sz="4" w:space="0"/>
            </w:tcBorders>
            <w:noWrap w:val="0"/>
            <w:vAlign w:val="center"/>
          </w:tcPr>
          <w:p w14:paraId="20C5BA45">
            <w:pPr>
              <w:widowControl/>
              <w:spacing w:line="360" w:lineRule="exact"/>
              <w:jc w:val="center"/>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　</w:t>
            </w:r>
          </w:p>
        </w:tc>
        <w:tc>
          <w:tcPr>
            <w:tcW w:w="2041" w:type="dxa"/>
            <w:gridSpan w:val="2"/>
            <w:tcBorders>
              <w:top w:val="single" w:color="auto" w:sz="4" w:space="0"/>
              <w:left w:val="nil"/>
              <w:bottom w:val="single" w:color="auto" w:sz="4" w:space="0"/>
              <w:right w:val="single" w:color="000000" w:sz="4" w:space="0"/>
            </w:tcBorders>
            <w:noWrap w:val="0"/>
            <w:vAlign w:val="center"/>
          </w:tcPr>
          <w:p w14:paraId="5B892D5A">
            <w:pPr>
              <w:widowControl/>
              <w:spacing w:line="360" w:lineRule="exact"/>
              <w:jc w:val="center"/>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　</w:t>
            </w:r>
          </w:p>
        </w:tc>
      </w:tr>
      <w:tr w14:paraId="49FD8A76">
        <w:tblPrEx>
          <w:tblCellMar>
            <w:top w:w="0" w:type="dxa"/>
            <w:left w:w="108" w:type="dxa"/>
            <w:bottom w:w="0" w:type="dxa"/>
            <w:right w:w="108" w:type="dxa"/>
          </w:tblCellMar>
        </w:tblPrEx>
        <w:trPr>
          <w:trHeight w:val="0" w:hRule="atLeast"/>
          <w:jc w:val="center"/>
        </w:trPr>
        <w:tc>
          <w:tcPr>
            <w:tcW w:w="3354" w:type="dxa"/>
            <w:tcBorders>
              <w:top w:val="nil"/>
              <w:left w:val="single" w:color="auto" w:sz="4" w:space="0"/>
              <w:bottom w:val="single" w:color="auto" w:sz="4" w:space="0"/>
              <w:right w:val="single" w:color="auto" w:sz="4" w:space="0"/>
            </w:tcBorders>
            <w:noWrap w:val="0"/>
            <w:vAlign w:val="center"/>
          </w:tcPr>
          <w:p w14:paraId="01EC07F4">
            <w:pPr>
              <w:widowControl/>
              <w:spacing w:line="360" w:lineRule="exact"/>
              <w:jc w:val="left"/>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 xml:space="preserve">   3、公务接待</w:t>
            </w:r>
          </w:p>
        </w:tc>
        <w:tc>
          <w:tcPr>
            <w:tcW w:w="2038" w:type="dxa"/>
            <w:gridSpan w:val="2"/>
            <w:tcBorders>
              <w:top w:val="single" w:color="auto" w:sz="4" w:space="0"/>
              <w:left w:val="nil"/>
              <w:bottom w:val="single" w:color="auto" w:sz="4" w:space="0"/>
              <w:right w:val="single" w:color="000000" w:sz="4" w:space="0"/>
            </w:tcBorders>
            <w:noWrap w:val="0"/>
            <w:vAlign w:val="center"/>
          </w:tcPr>
          <w:p w14:paraId="65162D5F">
            <w:pPr>
              <w:widowControl/>
              <w:spacing w:line="360" w:lineRule="exact"/>
              <w:jc w:val="center"/>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lang w:val="en-US" w:eastAsia="zh-CN"/>
              </w:rPr>
              <w:t>1.43</w:t>
            </w:r>
            <w:r>
              <w:rPr>
                <w:rFonts w:hint="eastAsia" w:ascii="仿宋_GB2312" w:hAnsi="仿宋_GB2312" w:eastAsia="仿宋_GB2312" w:cs="仿宋_GB2312"/>
                <w:sz w:val="20"/>
                <w:szCs w:val="20"/>
                <w:highlight w:val="none"/>
              </w:rPr>
              <w:t>　</w:t>
            </w:r>
          </w:p>
        </w:tc>
        <w:tc>
          <w:tcPr>
            <w:tcW w:w="2240" w:type="dxa"/>
            <w:gridSpan w:val="2"/>
            <w:tcBorders>
              <w:top w:val="single" w:color="auto" w:sz="4" w:space="0"/>
              <w:left w:val="nil"/>
              <w:bottom w:val="single" w:color="auto" w:sz="4" w:space="0"/>
              <w:right w:val="single" w:color="000000" w:sz="4" w:space="0"/>
            </w:tcBorders>
            <w:noWrap w:val="0"/>
            <w:vAlign w:val="center"/>
          </w:tcPr>
          <w:p w14:paraId="7126779C">
            <w:pPr>
              <w:widowControl/>
              <w:spacing w:line="360" w:lineRule="exact"/>
              <w:jc w:val="center"/>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lang w:val="en-US" w:eastAsia="zh-CN"/>
              </w:rPr>
              <w:t>5</w:t>
            </w:r>
            <w:r>
              <w:rPr>
                <w:rFonts w:hint="eastAsia" w:ascii="仿宋_GB2312" w:hAnsi="仿宋_GB2312" w:eastAsia="仿宋_GB2312" w:cs="仿宋_GB2312"/>
                <w:sz w:val="20"/>
                <w:szCs w:val="20"/>
                <w:highlight w:val="none"/>
              </w:rPr>
              <w:t>　</w:t>
            </w:r>
          </w:p>
        </w:tc>
        <w:tc>
          <w:tcPr>
            <w:tcW w:w="2041" w:type="dxa"/>
            <w:gridSpan w:val="2"/>
            <w:tcBorders>
              <w:top w:val="single" w:color="auto" w:sz="4" w:space="0"/>
              <w:left w:val="nil"/>
              <w:bottom w:val="single" w:color="auto" w:sz="4" w:space="0"/>
              <w:right w:val="single" w:color="000000" w:sz="4" w:space="0"/>
            </w:tcBorders>
            <w:noWrap w:val="0"/>
            <w:vAlign w:val="center"/>
          </w:tcPr>
          <w:p w14:paraId="0E05BA41">
            <w:pPr>
              <w:widowControl/>
              <w:spacing w:line="360" w:lineRule="exact"/>
              <w:jc w:val="center"/>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lang w:val="en-US" w:eastAsia="zh-CN"/>
              </w:rPr>
              <w:t>1.19</w:t>
            </w:r>
            <w:r>
              <w:rPr>
                <w:rFonts w:hint="eastAsia" w:ascii="仿宋_GB2312" w:hAnsi="仿宋_GB2312" w:eastAsia="仿宋_GB2312" w:cs="仿宋_GB2312"/>
                <w:sz w:val="20"/>
                <w:szCs w:val="20"/>
                <w:highlight w:val="none"/>
              </w:rPr>
              <w:t>　</w:t>
            </w:r>
          </w:p>
        </w:tc>
      </w:tr>
      <w:tr w14:paraId="2D216952">
        <w:tblPrEx>
          <w:tblCellMar>
            <w:top w:w="0" w:type="dxa"/>
            <w:left w:w="108" w:type="dxa"/>
            <w:bottom w:w="0" w:type="dxa"/>
            <w:right w:w="108" w:type="dxa"/>
          </w:tblCellMar>
        </w:tblPrEx>
        <w:trPr>
          <w:trHeight w:val="0" w:hRule="atLeast"/>
          <w:jc w:val="center"/>
        </w:trPr>
        <w:tc>
          <w:tcPr>
            <w:tcW w:w="3354" w:type="dxa"/>
            <w:tcBorders>
              <w:top w:val="nil"/>
              <w:left w:val="single" w:color="auto" w:sz="4" w:space="0"/>
              <w:bottom w:val="single" w:color="auto" w:sz="4" w:space="0"/>
              <w:right w:val="single" w:color="auto" w:sz="4" w:space="0"/>
            </w:tcBorders>
            <w:noWrap w:val="0"/>
            <w:vAlign w:val="center"/>
          </w:tcPr>
          <w:p w14:paraId="6430B24B">
            <w:pPr>
              <w:widowControl/>
              <w:spacing w:line="360" w:lineRule="exact"/>
              <w:jc w:val="left"/>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项目支出：</w:t>
            </w:r>
          </w:p>
        </w:tc>
        <w:tc>
          <w:tcPr>
            <w:tcW w:w="2038" w:type="dxa"/>
            <w:gridSpan w:val="2"/>
            <w:tcBorders>
              <w:top w:val="single" w:color="auto" w:sz="4" w:space="0"/>
              <w:left w:val="nil"/>
              <w:bottom w:val="single" w:color="auto" w:sz="4" w:space="0"/>
              <w:right w:val="single" w:color="000000" w:sz="4" w:space="0"/>
            </w:tcBorders>
            <w:noWrap w:val="0"/>
            <w:vAlign w:val="center"/>
          </w:tcPr>
          <w:p w14:paraId="21518182">
            <w:pPr>
              <w:widowControl/>
              <w:spacing w:line="360" w:lineRule="exact"/>
              <w:jc w:val="center"/>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lang w:val="en-US" w:eastAsia="zh-CN"/>
              </w:rPr>
              <w:t>368.28</w:t>
            </w:r>
            <w:r>
              <w:rPr>
                <w:rFonts w:hint="eastAsia" w:ascii="仿宋_GB2312" w:hAnsi="仿宋_GB2312" w:eastAsia="仿宋_GB2312" w:cs="仿宋_GB2312"/>
                <w:sz w:val="20"/>
                <w:szCs w:val="20"/>
                <w:highlight w:val="none"/>
              </w:rPr>
              <w:t>　</w:t>
            </w:r>
          </w:p>
        </w:tc>
        <w:tc>
          <w:tcPr>
            <w:tcW w:w="2240" w:type="dxa"/>
            <w:gridSpan w:val="2"/>
            <w:tcBorders>
              <w:top w:val="single" w:color="auto" w:sz="4" w:space="0"/>
              <w:left w:val="nil"/>
              <w:bottom w:val="single" w:color="auto" w:sz="4" w:space="0"/>
              <w:right w:val="single" w:color="000000" w:sz="4" w:space="0"/>
            </w:tcBorders>
            <w:noWrap w:val="0"/>
            <w:vAlign w:val="center"/>
          </w:tcPr>
          <w:p w14:paraId="291E22DC">
            <w:pPr>
              <w:widowControl/>
              <w:spacing w:line="360" w:lineRule="exact"/>
              <w:jc w:val="center"/>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lang w:val="en-US" w:eastAsia="zh-CN"/>
              </w:rPr>
              <w:t>200</w:t>
            </w:r>
            <w:r>
              <w:rPr>
                <w:rFonts w:hint="eastAsia" w:ascii="仿宋_GB2312" w:hAnsi="仿宋_GB2312" w:eastAsia="仿宋_GB2312" w:cs="仿宋_GB2312"/>
                <w:sz w:val="20"/>
                <w:szCs w:val="20"/>
                <w:highlight w:val="none"/>
              </w:rPr>
              <w:t>　</w:t>
            </w:r>
          </w:p>
        </w:tc>
        <w:tc>
          <w:tcPr>
            <w:tcW w:w="2041" w:type="dxa"/>
            <w:gridSpan w:val="2"/>
            <w:tcBorders>
              <w:top w:val="single" w:color="auto" w:sz="4" w:space="0"/>
              <w:left w:val="nil"/>
              <w:bottom w:val="single" w:color="auto" w:sz="4" w:space="0"/>
              <w:right w:val="single" w:color="000000" w:sz="4" w:space="0"/>
            </w:tcBorders>
            <w:noWrap w:val="0"/>
            <w:vAlign w:val="center"/>
          </w:tcPr>
          <w:p w14:paraId="72AFEBB4">
            <w:pPr>
              <w:widowControl/>
              <w:spacing w:line="360" w:lineRule="exact"/>
              <w:jc w:val="center"/>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lang w:val="en-US" w:eastAsia="zh-CN"/>
              </w:rPr>
              <w:t>265.84</w:t>
            </w:r>
            <w:r>
              <w:rPr>
                <w:rFonts w:hint="eastAsia" w:ascii="仿宋_GB2312" w:hAnsi="仿宋_GB2312" w:eastAsia="仿宋_GB2312" w:cs="仿宋_GB2312"/>
                <w:sz w:val="20"/>
                <w:szCs w:val="20"/>
                <w:highlight w:val="none"/>
              </w:rPr>
              <w:t>　</w:t>
            </w:r>
          </w:p>
        </w:tc>
      </w:tr>
      <w:tr w14:paraId="238E0AA2">
        <w:tblPrEx>
          <w:tblCellMar>
            <w:top w:w="0" w:type="dxa"/>
            <w:left w:w="108" w:type="dxa"/>
            <w:bottom w:w="0" w:type="dxa"/>
            <w:right w:w="108" w:type="dxa"/>
          </w:tblCellMar>
        </w:tblPrEx>
        <w:trPr>
          <w:trHeight w:val="0" w:hRule="atLeast"/>
          <w:jc w:val="center"/>
        </w:trPr>
        <w:tc>
          <w:tcPr>
            <w:tcW w:w="3354" w:type="dxa"/>
            <w:tcBorders>
              <w:top w:val="nil"/>
              <w:left w:val="single" w:color="auto" w:sz="4" w:space="0"/>
              <w:bottom w:val="single" w:color="auto" w:sz="4" w:space="0"/>
              <w:right w:val="single" w:color="auto" w:sz="4" w:space="0"/>
            </w:tcBorders>
            <w:noWrap w:val="0"/>
            <w:vAlign w:val="center"/>
          </w:tcPr>
          <w:p w14:paraId="31FE0773">
            <w:pPr>
              <w:widowControl/>
              <w:spacing w:line="360" w:lineRule="exact"/>
              <w:jc w:val="left"/>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 xml:space="preserve">   1、业务工作经费</w:t>
            </w:r>
          </w:p>
        </w:tc>
        <w:tc>
          <w:tcPr>
            <w:tcW w:w="2038" w:type="dxa"/>
            <w:gridSpan w:val="2"/>
            <w:tcBorders>
              <w:top w:val="single" w:color="auto" w:sz="4" w:space="0"/>
              <w:left w:val="nil"/>
              <w:bottom w:val="single" w:color="auto" w:sz="4" w:space="0"/>
              <w:right w:val="single" w:color="000000" w:sz="4" w:space="0"/>
            </w:tcBorders>
            <w:noWrap w:val="0"/>
            <w:vAlign w:val="center"/>
          </w:tcPr>
          <w:p w14:paraId="1575200D">
            <w:pPr>
              <w:widowControl/>
              <w:spacing w:line="360" w:lineRule="exact"/>
              <w:jc w:val="center"/>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lang w:val="en-US" w:eastAsia="zh-CN"/>
              </w:rPr>
              <w:t>318.28</w:t>
            </w:r>
            <w:r>
              <w:rPr>
                <w:rFonts w:hint="eastAsia" w:ascii="仿宋_GB2312" w:hAnsi="仿宋_GB2312" w:eastAsia="仿宋_GB2312" w:cs="仿宋_GB2312"/>
                <w:sz w:val="20"/>
                <w:szCs w:val="20"/>
                <w:highlight w:val="none"/>
              </w:rPr>
              <w:t>　</w:t>
            </w:r>
          </w:p>
        </w:tc>
        <w:tc>
          <w:tcPr>
            <w:tcW w:w="2240" w:type="dxa"/>
            <w:gridSpan w:val="2"/>
            <w:tcBorders>
              <w:top w:val="single" w:color="auto" w:sz="4" w:space="0"/>
              <w:left w:val="nil"/>
              <w:bottom w:val="single" w:color="auto" w:sz="4" w:space="0"/>
              <w:right w:val="single" w:color="000000" w:sz="4" w:space="0"/>
            </w:tcBorders>
            <w:noWrap w:val="0"/>
            <w:vAlign w:val="center"/>
          </w:tcPr>
          <w:p w14:paraId="474769BF">
            <w:pPr>
              <w:widowControl/>
              <w:spacing w:line="360" w:lineRule="exact"/>
              <w:jc w:val="center"/>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lang w:val="en-US" w:eastAsia="zh-CN"/>
              </w:rPr>
              <w:t>200</w:t>
            </w:r>
            <w:r>
              <w:rPr>
                <w:rFonts w:hint="eastAsia" w:ascii="仿宋_GB2312" w:hAnsi="仿宋_GB2312" w:eastAsia="仿宋_GB2312" w:cs="仿宋_GB2312"/>
                <w:sz w:val="20"/>
                <w:szCs w:val="20"/>
                <w:highlight w:val="none"/>
              </w:rPr>
              <w:t>　</w:t>
            </w:r>
          </w:p>
        </w:tc>
        <w:tc>
          <w:tcPr>
            <w:tcW w:w="2041" w:type="dxa"/>
            <w:gridSpan w:val="2"/>
            <w:tcBorders>
              <w:top w:val="single" w:color="auto" w:sz="4" w:space="0"/>
              <w:left w:val="nil"/>
              <w:bottom w:val="single" w:color="auto" w:sz="4" w:space="0"/>
              <w:right w:val="single" w:color="000000" w:sz="4" w:space="0"/>
            </w:tcBorders>
            <w:noWrap w:val="0"/>
            <w:vAlign w:val="center"/>
          </w:tcPr>
          <w:p w14:paraId="65B98A7C">
            <w:pPr>
              <w:widowControl/>
              <w:spacing w:line="360" w:lineRule="exact"/>
              <w:jc w:val="center"/>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lang w:val="en-US" w:eastAsia="zh-CN"/>
              </w:rPr>
              <w:t>265.84</w:t>
            </w:r>
            <w:r>
              <w:rPr>
                <w:rFonts w:hint="eastAsia" w:ascii="仿宋_GB2312" w:hAnsi="仿宋_GB2312" w:eastAsia="仿宋_GB2312" w:cs="仿宋_GB2312"/>
                <w:sz w:val="20"/>
                <w:szCs w:val="20"/>
                <w:highlight w:val="none"/>
              </w:rPr>
              <w:t>　</w:t>
            </w:r>
          </w:p>
        </w:tc>
      </w:tr>
      <w:tr w14:paraId="4674EEE0">
        <w:tblPrEx>
          <w:tblCellMar>
            <w:top w:w="0" w:type="dxa"/>
            <w:left w:w="108" w:type="dxa"/>
            <w:bottom w:w="0" w:type="dxa"/>
            <w:right w:w="108" w:type="dxa"/>
          </w:tblCellMar>
        </w:tblPrEx>
        <w:trPr>
          <w:trHeight w:val="0" w:hRule="atLeast"/>
          <w:jc w:val="center"/>
        </w:trPr>
        <w:tc>
          <w:tcPr>
            <w:tcW w:w="3354" w:type="dxa"/>
            <w:tcBorders>
              <w:top w:val="nil"/>
              <w:left w:val="single" w:color="auto" w:sz="4" w:space="0"/>
              <w:bottom w:val="single" w:color="auto" w:sz="4" w:space="0"/>
              <w:right w:val="single" w:color="auto" w:sz="4" w:space="0"/>
            </w:tcBorders>
            <w:noWrap w:val="0"/>
            <w:vAlign w:val="center"/>
          </w:tcPr>
          <w:p w14:paraId="7B0242AD">
            <w:pPr>
              <w:widowControl/>
              <w:spacing w:line="360" w:lineRule="exact"/>
              <w:jc w:val="left"/>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 xml:space="preserve">   2、运行维护经费</w:t>
            </w:r>
          </w:p>
        </w:tc>
        <w:tc>
          <w:tcPr>
            <w:tcW w:w="2038" w:type="dxa"/>
            <w:gridSpan w:val="2"/>
            <w:tcBorders>
              <w:top w:val="single" w:color="auto" w:sz="4" w:space="0"/>
              <w:left w:val="nil"/>
              <w:bottom w:val="single" w:color="auto" w:sz="4" w:space="0"/>
              <w:right w:val="single" w:color="000000" w:sz="4" w:space="0"/>
            </w:tcBorders>
            <w:noWrap w:val="0"/>
            <w:vAlign w:val="center"/>
          </w:tcPr>
          <w:p w14:paraId="4BC36C4F">
            <w:pPr>
              <w:widowControl/>
              <w:spacing w:line="360" w:lineRule="exact"/>
              <w:jc w:val="center"/>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　</w:t>
            </w:r>
          </w:p>
        </w:tc>
        <w:tc>
          <w:tcPr>
            <w:tcW w:w="2240" w:type="dxa"/>
            <w:gridSpan w:val="2"/>
            <w:tcBorders>
              <w:top w:val="single" w:color="auto" w:sz="4" w:space="0"/>
              <w:left w:val="nil"/>
              <w:bottom w:val="single" w:color="auto" w:sz="4" w:space="0"/>
              <w:right w:val="single" w:color="000000" w:sz="4" w:space="0"/>
            </w:tcBorders>
            <w:noWrap w:val="0"/>
            <w:vAlign w:val="center"/>
          </w:tcPr>
          <w:p w14:paraId="2A4CEF37">
            <w:pPr>
              <w:widowControl/>
              <w:spacing w:line="360" w:lineRule="exact"/>
              <w:jc w:val="center"/>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　</w:t>
            </w:r>
          </w:p>
        </w:tc>
        <w:tc>
          <w:tcPr>
            <w:tcW w:w="2041" w:type="dxa"/>
            <w:gridSpan w:val="2"/>
            <w:tcBorders>
              <w:top w:val="single" w:color="auto" w:sz="4" w:space="0"/>
              <w:left w:val="nil"/>
              <w:bottom w:val="single" w:color="auto" w:sz="4" w:space="0"/>
              <w:right w:val="single" w:color="000000" w:sz="4" w:space="0"/>
            </w:tcBorders>
            <w:noWrap w:val="0"/>
            <w:vAlign w:val="center"/>
          </w:tcPr>
          <w:p w14:paraId="0DE7E4DF">
            <w:pPr>
              <w:widowControl/>
              <w:spacing w:line="360" w:lineRule="exact"/>
              <w:jc w:val="center"/>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　</w:t>
            </w:r>
          </w:p>
        </w:tc>
      </w:tr>
      <w:tr w14:paraId="44311424">
        <w:tblPrEx>
          <w:tblCellMar>
            <w:top w:w="0" w:type="dxa"/>
            <w:left w:w="108" w:type="dxa"/>
            <w:bottom w:w="0" w:type="dxa"/>
            <w:right w:w="108" w:type="dxa"/>
          </w:tblCellMar>
        </w:tblPrEx>
        <w:trPr>
          <w:trHeight w:val="0" w:hRule="atLeast"/>
          <w:jc w:val="center"/>
        </w:trPr>
        <w:tc>
          <w:tcPr>
            <w:tcW w:w="3354" w:type="dxa"/>
            <w:tcBorders>
              <w:top w:val="nil"/>
              <w:left w:val="single" w:color="auto" w:sz="4" w:space="0"/>
              <w:bottom w:val="single" w:color="auto" w:sz="4" w:space="0"/>
              <w:right w:val="single" w:color="auto" w:sz="4" w:space="0"/>
            </w:tcBorders>
            <w:noWrap w:val="0"/>
            <w:vAlign w:val="center"/>
          </w:tcPr>
          <w:p w14:paraId="420AED7A">
            <w:pPr>
              <w:widowControl/>
              <w:spacing w:line="360" w:lineRule="exact"/>
              <w:jc w:val="center"/>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w:t>
            </w:r>
          </w:p>
        </w:tc>
        <w:tc>
          <w:tcPr>
            <w:tcW w:w="2038" w:type="dxa"/>
            <w:gridSpan w:val="2"/>
            <w:tcBorders>
              <w:top w:val="single" w:color="auto" w:sz="4" w:space="0"/>
              <w:left w:val="nil"/>
              <w:bottom w:val="single" w:color="auto" w:sz="4" w:space="0"/>
              <w:right w:val="single" w:color="000000" w:sz="4" w:space="0"/>
            </w:tcBorders>
            <w:noWrap w:val="0"/>
            <w:vAlign w:val="center"/>
          </w:tcPr>
          <w:p w14:paraId="3978E236">
            <w:pPr>
              <w:widowControl/>
              <w:spacing w:line="360" w:lineRule="exact"/>
              <w:jc w:val="center"/>
              <w:rPr>
                <w:rFonts w:hint="eastAsia" w:ascii="仿宋_GB2312" w:hAnsi="仿宋_GB2312" w:eastAsia="仿宋_GB2312" w:cs="仿宋_GB2312"/>
                <w:sz w:val="20"/>
                <w:szCs w:val="20"/>
                <w:highlight w:val="none"/>
              </w:rPr>
            </w:pPr>
          </w:p>
        </w:tc>
        <w:tc>
          <w:tcPr>
            <w:tcW w:w="2240" w:type="dxa"/>
            <w:gridSpan w:val="2"/>
            <w:tcBorders>
              <w:top w:val="single" w:color="auto" w:sz="4" w:space="0"/>
              <w:left w:val="nil"/>
              <w:bottom w:val="single" w:color="auto" w:sz="4" w:space="0"/>
              <w:right w:val="single" w:color="000000" w:sz="4" w:space="0"/>
            </w:tcBorders>
            <w:noWrap w:val="0"/>
            <w:vAlign w:val="center"/>
          </w:tcPr>
          <w:p w14:paraId="1C8F969B">
            <w:pPr>
              <w:widowControl/>
              <w:spacing w:line="360" w:lineRule="exact"/>
              <w:jc w:val="center"/>
              <w:rPr>
                <w:rFonts w:hint="eastAsia" w:ascii="仿宋_GB2312" w:hAnsi="仿宋_GB2312" w:eastAsia="仿宋_GB2312" w:cs="仿宋_GB2312"/>
                <w:sz w:val="20"/>
                <w:szCs w:val="20"/>
                <w:highlight w:val="none"/>
              </w:rPr>
            </w:pPr>
          </w:p>
        </w:tc>
        <w:tc>
          <w:tcPr>
            <w:tcW w:w="2041" w:type="dxa"/>
            <w:gridSpan w:val="2"/>
            <w:tcBorders>
              <w:top w:val="single" w:color="auto" w:sz="4" w:space="0"/>
              <w:left w:val="nil"/>
              <w:bottom w:val="single" w:color="auto" w:sz="4" w:space="0"/>
              <w:right w:val="single" w:color="000000" w:sz="4" w:space="0"/>
            </w:tcBorders>
            <w:noWrap w:val="0"/>
            <w:vAlign w:val="center"/>
          </w:tcPr>
          <w:p w14:paraId="45DD26AD">
            <w:pPr>
              <w:widowControl/>
              <w:spacing w:line="360" w:lineRule="exact"/>
              <w:jc w:val="center"/>
              <w:rPr>
                <w:rFonts w:hint="eastAsia" w:ascii="仿宋_GB2312" w:hAnsi="仿宋_GB2312" w:eastAsia="仿宋_GB2312" w:cs="仿宋_GB2312"/>
                <w:sz w:val="20"/>
                <w:szCs w:val="20"/>
                <w:highlight w:val="none"/>
              </w:rPr>
            </w:pPr>
          </w:p>
        </w:tc>
      </w:tr>
      <w:tr w14:paraId="3E232978">
        <w:tblPrEx>
          <w:tblCellMar>
            <w:top w:w="0" w:type="dxa"/>
            <w:left w:w="108" w:type="dxa"/>
            <w:bottom w:w="0" w:type="dxa"/>
            <w:right w:w="108" w:type="dxa"/>
          </w:tblCellMar>
        </w:tblPrEx>
        <w:trPr>
          <w:trHeight w:val="0" w:hRule="atLeast"/>
          <w:jc w:val="center"/>
        </w:trPr>
        <w:tc>
          <w:tcPr>
            <w:tcW w:w="3354" w:type="dxa"/>
            <w:tcBorders>
              <w:top w:val="nil"/>
              <w:left w:val="single" w:color="auto" w:sz="4" w:space="0"/>
              <w:bottom w:val="single" w:color="auto" w:sz="4" w:space="0"/>
              <w:right w:val="single" w:color="auto" w:sz="4" w:space="0"/>
            </w:tcBorders>
            <w:noWrap w:val="0"/>
            <w:vAlign w:val="center"/>
          </w:tcPr>
          <w:p w14:paraId="0B3A2372">
            <w:pPr>
              <w:widowControl/>
              <w:spacing w:line="360" w:lineRule="exact"/>
              <w:jc w:val="left"/>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3、</w:t>
            </w:r>
            <w:r>
              <w:rPr>
                <w:rFonts w:hint="eastAsia" w:ascii="仿宋_GB2312" w:hAnsi="仿宋_GB2312" w:eastAsia="仿宋_GB2312" w:cs="仿宋_GB2312"/>
                <w:sz w:val="20"/>
                <w:szCs w:val="20"/>
                <w:highlight w:val="none"/>
                <w:lang w:eastAsia="zh-CN"/>
              </w:rPr>
              <w:t>市级</w:t>
            </w:r>
            <w:r>
              <w:rPr>
                <w:rFonts w:hint="eastAsia" w:ascii="仿宋_GB2312" w:hAnsi="仿宋_GB2312" w:eastAsia="仿宋_GB2312" w:cs="仿宋_GB2312"/>
                <w:sz w:val="20"/>
                <w:szCs w:val="20"/>
                <w:highlight w:val="none"/>
              </w:rPr>
              <w:t>专项资金（一个专项一行）</w:t>
            </w:r>
          </w:p>
        </w:tc>
        <w:tc>
          <w:tcPr>
            <w:tcW w:w="2038" w:type="dxa"/>
            <w:gridSpan w:val="2"/>
            <w:tcBorders>
              <w:top w:val="single" w:color="auto" w:sz="4" w:space="0"/>
              <w:left w:val="nil"/>
              <w:bottom w:val="single" w:color="auto" w:sz="4" w:space="0"/>
              <w:right w:val="single" w:color="000000" w:sz="4" w:space="0"/>
            </w:tcBorders>
            <w:noWrap w:val="0"/>
            <w:vAlign w:val="center"/>
          </w:tcPr>
          <w:p w14:paraId="77B334DC">
            <w:pPr>
              <w:widowControl/>
              <w:spacing w:line="360" w:lineRule="exact"/>
              <w:jc w:val="center"/>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lang w:val="en-US" w:eastAsia="zh-CN"/>
              </w:rPr>
              <w:t>50</w:t>
            </w:r>
            <w:r>
              <w:rPr>
                <w:rFonts w:hint="eastAsia" w:ascii="仿宋_GB2312" w:hAnsi="仿宋_GB2312" w:eastAsia="仿宋_GB2312" w:cs="仿宋_GB2312"/>
                <w:sz w:val="20"/>
                <w:szCs w:val="20"/>
                <w:highlight w:val="none"/>
              </w:rPr>
              <w:t>　</w:t>
            </w:r>
          </w:p>
        </w:tc>
        <w:tc>
          <w:tcPr>
            <w:tcW w:w="2240" w:type="dxa"/>
            <w:gridSpan w:val="2"/>
            <w:tcBorders>
              <w:top w:val="single" w:color="auto" w:sz="4" w:space="0"/>
              <w:left w:val="nil"/>
              <w:bottom w:val="single" w:color="auto" w:sz="4" w:space="0"/>
              <w:right w:val="single" w:color="000000" w:sz="4" w:space="0"/>
            </w:tcBorders>
            <w:noWrap w:val="0"/>
            <w:vAlign w:val="center"/>
          </w:tcPr>
          <w:p w14:paraId="383FFB2D">
            <w:pPr>
              <w:widowControl/>
              <w:spacing w:line="360" w:lineRule="exact"/>
              <w:jc w:val="center"/>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　</w:t>
            </w:r>
          </w:p>
        </w:tc>
        <w:tc>
          <w:tcPr>
            <w:tcW w:w="2041" w:type="dxa"/>
            <w:gridSpan w:val="2"/>
            <w:tcBorders>
              <w:top w:val="single" w:color="auto" w:sz="4" w:space="0"/>
              <w:left w:val="nil"/>
              <w:bottom w:val="single" w:color="auto" w:sz="4" w:space="0"/>
              <w:right w:val="single" w:color="000000" w:sz="4" w:space="0"/>
            </w:tcBorders>
            <w:noWrap w:val="0"/>
            <w:vAlign w:val="center"/>
          </w:tcPr>
          <w:p w14:paraId="13F4638B">
            <w:pPr>
              <w:widowControl/>
              <w:spacing w:line="360" w:lineRule="exact"/>
              <w:jc w:val="center"/>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　</w:t>
            </w:r>
          </w:p>
        </w:tc>
      </w:tr>
      <w:tr w14:paraId="7AA9E6B4">
        <w:tblPrEx>
          <w:tblCellMar>
            <w:top w:w="0" w:type="dxa"/>
            <w:left w:w="108" w:type="dxa"/>
            <w:bottom w:w="0" w:type="dxa"/>
            <w:right w:w="108" w:type="dxa"/>
          </w:tblCellMar>
        </w:tblPrEx>
        <w:trPr>
          <w:trHeight w:val="0" w:hRule="atLeast"/>
          <w:jc w:val="center"/>
        </w:trPr>
        <w:tc>
          <w:tcPr>
            <w:tcW w:w="3354" w:type="dxa"/>
            <w:tcBorders>
              <w:top w:val="nil"/>
              <w:left w:val="single" w:color="auto" w:sz="4" w:space="0"/>
              <w:bottom w:val="single" w:color="auto" w:sz="4" w:space="0"/>
              <w:right w:val="single" w:color="auto" w:sz="4" w:space="0"/>
            </w:tcBorders>
            <w:noWrap w:val="0"/>
            <w:vAlign w:val="center"/>
          </w:tcPr>
          <w:p w14:paraId="4FDDBEA1">
            <w:pPr>
              <w:widowControl/>
              <w:spacing w:line="360" w:lineRule="exact"/>
              <w:jc w:val="center"/>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lang w:val="en-US" w:eastAsia="zh-CN"/>
              </w:rPr>
              <w:t>血液核酸检测经费</w:t>
            </w:r>
          </w:p>
        </w:tc>
        <w:tc>
          <w:tcPr>
            <w:tcW w:w="2038" w:type="dxa"/>
            <w:gridSpan w:val="2"/>
            <w:tcBorders>
              <w:top w:val="single" w:color="auto" w:sz="4" w:space="0"/>
              <w:left w:val="nil"/>
              <w:bottom w:val="single" w:color="auto" w:sz="4" w:space="0"/>
              <w:right w:val="single" w:color="000000" w:sz="4" w:space="0"/>
            </w:tcBorders>
            <w:noWrap w:val="0"/>
            <w:vAlign w:val="center"/>
          </w:tcPr>
          <w:p w14:paraId="4883FB88">
            <w:pPr>
              <w:widowControl/>
              <w:spacing w:line="360" w:lineRule="exact"/>
              <w:jc w:val="center"/>
              <w:rPr>
                <w:rFonts w:hint="default"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50</w:t>
            </w:r>
          </w:p>
        </w:tc>
        <w:tc>
          <w:tcPr>
            <w:tcW w:w="2240" w:type="dxa"/>
            <w:gridSpan w:val="2"/>
            <w:tcBorders>
              <w:top w:val="single" w:color="auto" w:sz="4" w:space="0"/>
              <w:left w:val="nil"/>
              <w:bottom w:val="single" w:color="auto" w:sz="4" w:space="0"/>
              <w:right w:val="single" w:color="000000" w:sz="4" w:space="0"/>
            </w:tcBorders>
            <w:noWrap w:val="0"/>
            <w:vAlign w:val="center"/>
          </w:tcPr>
          <w:p w14:paraId="417F3A5A">
            <w:pPr>
              <w:widowControl/>
              <w:spacing w:line="360" w:lineRule="exact"/>
              <w:jc w:val="center"/>
              <w:rPr>
                <w:rFonts w:hint="eastAsia" w:ascii="仿宋_GB2312" w:hAnsi="仿宋_GB2312" w:eastAsia="仿宋_GB2312" w:cs="仿宋_GB2312"/>
                <w:sz w:val="20"/>
                <w:szCs w:val="20"/>
                <w:highlight w:val="none"/>
              </w:rPr>
            </w:pPr>
          </w:p>
        </w:tc>
        <w:tc>
          <w:tcPr>
            <w:tcW w:w="2041" w:type="dxa"/>
            <w:gridSpan w:val="2"/>
            <w:tcBorders>
              <w:top w:val="single" w:color="auto" w:sz="4" w:space="0"/>
              <w:left w:val="nil"/>
              <w:bottom w:val="single" w:color="auto" w:sz="4" w:space="0"/>
              <w:right w:val="single" w:color="000000" w:sz="4" w:space="0"/>
            </w:tcBorders>
            <w:noWrap w:val="0"/>
            <w:vAlign w:val="center"/>
          </w:tcPr>
          <w:p w14:paraId="1AB034E1">
            <w:pPr>
              <w:widowControl/>
              <w:spacing w:line="360" w:lineRule="exact"/>
              <w:jc w:val="center"/>
              <w:rPr>
                <w:rFonts w:hint="eastAsia" w:ascii="仿宋_GB2312" w:hAnsi="仿宋_GB2312" w:eastAsia="仿宋_GB2312" w:cs="仿宋_GB2312"/>
                <w:sz w:val="20"/>
                <w:szCs w:val="20"/>
                <w:highlight w:val="none"/>
              </w:rPr>
            </w:pPr>
          </w:p>
        </w:tc>
      </w:tr>
      <w:tr w14:paraId="07616F30">
        <w:tblPrEx>
          <w:tblCellMar>
            <w:top w:w="0" w:type="dxa"/>
            <w:left w:w="108" w:type="dxa"/>
            <w:bottom w:w="0" w:type="dxa"/>
            <w:right w:w="108" w:type="dxa"/>
          </w:tblCellMar>
        </w:tblPrEx>
        <w:trPr>
          <w:trHeight w:val="0" w:hRule="atLeast"/>
          <w:jc w:val="center"/>
        </w:trPr>
        <w:tc>
          <w:tcPr>
            <w:tcW w:w="3354" w:type="dxa"/>
            <w:tcBorders>
              <w:top w:val="nil"/>
              <w:left w:val="single" w:color="auto" w:sz="4" w:space="0"/>
              <w:bottom w:val="single" w:color="auto" w:sz="4" w:space="0"/>
              <w:right w:val="single" w:color="auto" w:sz="4" w:space="0"/>
            </w:tcBorders>
            <w:noWrap w:val="0"/>
            <w:vAlign w:val="center"/>
          </w:tcPr>
          <w:p w14:paraId="2C613347">
            <w:pPr>
              <w:widowControl/>
              <w:spacing w:line="360" w:lineRule="exact"/>
              <w:jc w:val="left"/>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公用经费</w:t>
            </w:r>
          </w:p>
        </w:tc>
        <w:tc>
          <w:tcPr>
            <w:tcW w:w="2038" w:type="dxa"/>
            <w:gridSpan w:val="2"/>
            <w:tcBorders>
              <w:top w:val="single" w:color="auto" w:sz="4" w:space="0"/>
              <w:left w:val="nil"/>
              <w:bottom w:val="single" w:color="auto" w:sz="4" w:space="0"/>
              <w:right w:val="single" w:color="000000" w:sz="4" w:space="0"/>
            </w:tcBorders>
            <w:noWrap w:val="0"/>
            <w:vAlign w:val="center"/>
          </w:tcPr>
          <w:p w14:paraId="26C38DCD">
            <w:pPr>
              <w:widowControl/>
              <w:spacing w:line="360" w:lineRule="exact"/>
              <w:jc w:val="center"/>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lang w:val="en-US" w:eastAsia="zh-CN"/>
              </w:rPr>
              <w:t>4562.42</w:t>
            </w:r>
            <w:r>
              <w:rPr>
                <w:rFonts w:hint="eastAsia" w:ascii="仿宋_GB2312" w:hAnsi="仿宋_GB2312" w:eastAsia="仿宋_GB2312" w:cs="仿宋_GB2312"/>
                <w:sz w:val="20"/>
                <w:szCs w:val="20"/>
                <w:highlight w:val="none"/>
              </w:rPr>
              <w:t>　</w:t>
            </w:r>
          </w:p>
        </w:tc>
        <w:tc>
          <w:tcPr>
            <w:tcW w:w="2240" w:type="dxa"/>
            <w:gridSpan w:val="2"/>
            <w:tcBorders>
              <w:top w:val="single" w:color="auto" w:sz="4" w:space="0"/>
              <w:left w:val="nil"/>
              <w:bottom w:val="single" w:color="auto" w:sz="4" w:space="0"/>
              <w:right w:val="single" w:color="000000" w:sz="4" w:space="0"/>
            </w:tcBorders>
            <w:noWrap w:val="0"/>
            <w:vAlign w:val="center"/>
          </w:tcPr>
          <w:p w14:paraId="47EED90C">
            <w:pPr>
              <w:widowControl/>
              <w:spacing w:line="360" w:lineRule="exact"/>
              <w:jc w:val="center"/>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lang w:val="en-US" w:eastAsia="zh-CN"/>
              </w:rPr>
              <w:t>6422.75</w:t>
            </w:r>
            <w:r>
              <w:rPr>
                <w:rFonts w:hint="eastAsia" w:ascii="仿宋_GB2312" w:hAnsi="仿宋_GB2312" w:eastAsia="仿宋_GB2312" w:cs="仿宋_GB2312"/>
                <w:sz w:val="20"/>
                <w:szCs w:val="20"/>
                <w:highlight w:val="none"/>
              </w:rPr>
              <w:t>　</w:t>
            </w:r>
          </w:p>
        </w:tc>
        <w:tc>
          <w:tcPr>
            <w:tcW w:w="2041" w:type="dxa"/>
            <w:gridSpan w:val="2"/>
            <w:tcBorders>
              <w:top w:val="single" w:color="auto" w:sz="4" w:space="0"/>
              <w:left w:val="nil"/>
              <w:bottom w:val="single" w:color="auto" w:sz="4" w:space="0"/>
              <w:right w:val="single" w:color="000000" w:sz="4" w:space="0"/>
            </w:tcBorders>
            <w:noWrap w:val="0"/>
            <w:vAlign w:val="center"/>
          </w:tcPr>
          <w:p w14:paraId="7CB18A4D">
            <w:pPr>
              <w:widowControl/>
              <w:spacing w:line="360" w:lineRule="exact"/>
              <w:jc w:val="center"/>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lang w:val="en-US" w:eastAsia="zh-CN"/>
              </w:rPr>
              <w:t>6996.35</w:t>
            </w:r>
            <w:r>
              <w:rPr>
                <w:rFonts w:hint="eastAsia" w:ascii="仿宋_GB2312" w:hAnsi="仿宋_GB2312" w:eastAsia="仿宋_GB2312" w:cs="仿宋_GB2312"/>
                <w:sz w:val="20"/>
                <w:szCs w:val="20"/>
                <w:highlight w:val="none"/>
              </w:rPr>
              <w:t>　</w:t>
            </w:r>
          </w:p>
        </w:tc>
      </w:tr>
      <w:tr w14:paraId="54A054EA">
        <w:tblPrEx>
          <w:tblCellMar>
            <w:top w:w="0" w:type="dxa"/>
            <w:left w:w="108" w:type="dxa"/>
            <w:bottom w:w="0" w:type="dxa"/>
            <w:right w:w="108" w:type="dxa"/>
          </w:tblCellMar>
        </w:tblPrEx>
        <w:trPr>
          <w:trHeight w:val="0" w:hRule="atLeast"/>
          <w:jc w:val="center"/>
        </w:trPr>
        <w:tc>
          <w:tcPr>
            <w:tcW w:w="3354" w:type="dxa"/>
            <w:tcBorders>
              <w:top w:val="nil"/>
              <w:left w:val="single" w:color="auto" w:sz="4" w:space="0"/>
              <w:bottom w:val="single" w:color="auto" w:sz="4" w:space="0"/>
              <w:right w:val="single" w:color="auto" w:sz="4" w:space="0"/>
            </w:tcBorders>
            <w:noWrap w:val="0"/>
            <w:vAlign w:val="center"/>
          </w:tcPr>
          <w:p w14:paraId="7B561E86">
            <w:pPr>
              <w:widowControl/>
              <w:spacing w:line="360" w:lineRule="exact"/>
              <w:jc w:val="left"/>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 xml:space="preserve">    其中：办公经费</w:t>
            </w:r>
          </w:p>
        </w:tc>
        <w:tc>
          <w:tcPr>
            <w:tcW w:w="2038" w:type="dxa"/>
            <w:gridSpan w:val="2"/>
            <w:tcBorders>
              <w:top w:val="single" w:color="auto" w:sz="4" w:space="0"/>
              <w:left w:val="nil"/>
              <w:bottom w:val="single" w:color="auto" w:sz="4" w:space="0"/>
              <w:right w:val="single" w:color="000000" w:sz="4" w:space="0"/>
            </w:tcBorders>
            <w:noWrap w:val="0"/>
            <w:vAlign w:val="center"/>
          </w:tcPr>
          <w:p w14:paraId="2A6017BA">
            <w:pPr>
              <w:widowControl/>
              <w:spacing w:line="360" w:lineRule="exact"/>
              <w:jc w:val="center"/>
              <w:rPr>
                <w:rFonts w:hint="eastAsia"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val="en-US" w:eastAsia="zh-CN"/>
              </w:rPr>
              <w:t>73.44</w:t>
            </w:r>
            <w:r>
              <w:rPr>
                <w:rFonts w:hint="eastAsia" w:ascii="仿宋_GB2312" w:hAnsi="仿宋_GB2312" w:eastAsia="仿宋_GB2312" w:cs="仿宋_GB2312"/>
                <w:color w:val="auto"/>
                <w:sz w:val="20"/>
                <w:szCs w:val="20"/>
                <w:highlight w:val="none"/>
              </w:rPr>
              <w:t>　</w:t>
            </w:r>
          </w:p>
        </w:tc>
        <w:tc>
          <w:tcPr>
            <w:tcW w:w="2240" w:type="dxa"/>
            <w:gridSpan w:val="2"/>
            <w:tcBorders>
              <w:top w:val="single" w:color="auto" w:sz="4" w:space="0"/>
              <w:left w:val="nil"/>
              <w:bottom w:val="single" w:color="auto" w:sz="4" w:space="0"/>
              <w:right w:val="single" w:color="000000" w:sz="4" w:space="0"/>
            </w:tcBorders>
            <w:noWrap w:val="0"/>
            <w:vAlign w:val="center"/>
          </w:tcPr>
          <w:p w14:paraId="7FF30649">
            <w:pPr>
              <w:widowControl/>
              <w:spacing w:line="360" w:lineRule="exact"/>
              <w:jc w:val="center"/>
              <w:rPr>
                <w:rFonts w:hint="eastAsia"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val="en-US" w:eastAsia="zh-CN"/>
              </w:rPr>
              <w:t>2.1</w:t>
            </w:r>
            <w:r>
              <w:rPr>
                <w:rFonts w:hint="eastAsia" w:ascii="仿宋_GB2312" w:hAnsi="仿宋_GB2312" w:eastAsia="仿宋_GB2312" w:cs="仿宋_GB2312"/>
                <w:color w:val="auto"/>
                <w:sz w:val="20"/>
                <w:szCs w:val="20"/>
                <w:highlight w:val="none"/>
              </w:rPr>
              <w:t>　</w:t>
            </w:r>
          </w:p>
        </w:tc>
        <w:tc>
          <w:tcPr>
            <w:tcW w:w="2041" w:type="dxa"/>
            <w:gridSpan w:val="2"/>
            <w:tcBorders>
              <w:top w:val="single" w:color="auto" w:sz="4" w:space="0"/>
              <w:left w:val="nil"/>
              <w:bottom w:val="single" w:color="auto" w:sz="4" w:space="0"/>
              <w:right w:val="single" w:color="000000" w:sz="4" w:space="0"/>
            </w:tcBorders>
            <w:noWrap w:val="0"/>
            <w:vAlign w:val="center"/>
          </w:tcPr>
          <w:p w14:paraId="58574F75">
            <w:pPr>
              <w:widowControl/>
              <w:spacing w:line="360" w:lineRule="exact"/>
              <w:jc w:val="center"/>
              <w:rPr>
                <w:rFonts w:hint="eastAsia"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val="en-US" w:eastAsia="zh-CN"/>
              </w:rPr>
              <w:t>31.59</w:t>
            </w:r>
            <w:r>
              <w:rPr>
                <w:rFonts w:hint="eastAsia" w:ascii="仿宋_GB2312" w:hAnsi="仿宋_GB2312" w:eastAsia="仿宋_GB2312" w:cs="仿宋_GB2312"/>
                <w:color w:val="auto"/>
                <w:sz w:val="20"/>
                <w:szCs w:val="20"/>
                <w:highlight w:val="none"/>
              </w:rPr>
              <w:t>　</w:t>
            </w:r>
          </w:p>
        </w:tc>
      </w:tr>
      <w:tr w14:paraId="6220C9AB">
        <w:tblPrEx>
          <w:tblCellMar>
            <w:top w:w="0" w:type="dxa"/>
            <w:left w:w="108" w:type="dxa"/>
            <w:bottom w:w="0" w:type="dxa"/>
            <w:right w:w="108" w:type="dxa"/>
          </w:tblCellMar>
        </w:tblPrEx>
        <w:trPr>
          <w:trHeight w:val="0" w:hRule="atLeast"/>
          <w:jc w:val="center"/>
        </w:trPr>
        <w:tc>
          <w:tcPr>
            <w:tcW w:w="3354" w:type="dxa"/>
            <w:tcBorders>
              <w:top w:val="nil"/>
              <w:left w:val="single" w:color="auto" w:sz="4" w:space="0"/>
              <w:bottom w:val="single" w:color="auto" w:sz="4" w:space="0"/>
              <w:right w:val="single" w:color="auto" w:sz="4" w:space="0"/>
            </w:tcBorders>
            <w:noWrap w:val="0"/>
            <w:vAlign w:val="center"/>
          </w:tcPr>
          <w:p w14:paraId="72BFA5F9">
            <w:pPr>
              <w:widowControl/>
              <w:spacing w:line="360" w:lineRule="exact"/>
              <w:jc w:val="left"/>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 xml:space="preserve">          水费、电费、差旅费</w:t>
            </w:r>
          </w:p>
        </w:tc>
        <w:tc>
          <w:tcPr>
            <w:tcW w:w="2038" w:type="dxa"/>
            <w:gridSpan w:val="2"/>
            <w:tcBorders>
              <w:top w:val="single" w:color="auto" w:sz="4" w:space="0"/>
              <w:left w:val="nil"/>
              <w:bottom w:val="single" w:color="auto" w:sz="4" w:space="0"/>
              <w:right w:val="single" w:color="000000" w:sz="4" w:space="0"/>
            </w:tcBorders>
            <w:noWrap w:val="0"/>
            <w:vAlign w:val="center"/>
          </w:tcPr>
          <w:p w14:paraId="7DBC0AE7">
            <w:pPr>
              <w:widowControl/>
              <w:spacing w:line="360" w:lineRule="exact"/>
              <w:jc w:val="center"/>
              <w:rPr>
                <w:rFonts w:hint="eastAsia"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val="en-US" w:eastAsia="zh-CN"/>
              </w:rPr>
              <w:t>138.91</w:t>
            </w:r>
            <w:r>
              <w:rPr>
                <w:rFonts w:hint="eastAsia" w:ascii="仿宋_GB2312" w:hAnsi="仿宋_GB2312" w:eastAsia="仿宋_GB2312" w:cs="仿宋_GB2312"/>
                <w:color w:val="auto"/>
                <w:sz w:val="20"/>
                <w:szCs w:val="20"/>
                <w:highlight w:val="none"/>
              </w:rPr>
              <w:t>　</w:t>
            </w:r>
          </w:p>
        </w:tc>
        <w:tc>
          <w:tcPr>
            <w:tcW w:w="2240" w:type="dxa"/>
            <w:gridSpan w:val="2"/>
            <w:tcBorders>
              <w:top w:val="single" w:color="auto" w:sz="4" w:space="0"/>
              <w:left w:val="nil"/>
              <w:bottom w:val="single" w:color="auto" w:sz="4" w:space="0"/>
              <w:right w:val="single" w:color="000000" w:sz="4" w:space="0"/>
            </w:tcBorders>
            <w:noWrap w:val="0"/>
            <w:vAlign w:val="center"/>
          </w:tcPr>
          <w:p w14:paraId="3AA17E89">
            <w:pPr>
              <w:widowControl/>
              <w:spacing w:line="360" w:lineRule="exact"/>
              <w:jc w:val="center"/>
              <w:rPr>
                <w:rFonts w:hint="eastAsia"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val="en-US" w:eastAsia="zh-CN"/>
              </w:rPr>
              <w:t>74.5</w:t>
            </w:r>
            <w:r>
              <w:rPr>
                <w:rFonts w:hint="eastAsia" w:ascii="仿宋_GB2312" w:hAnsi="仿宋_GB2312" w:eastAsia="仿宋_GB2312" w:cs="仿宋_GB2312"/>
                <w:color w:val="auto"/>
                <w:sz w:val="20"/>
                <w:szCs w:val="20"/>
                <w:highlight w:val="none"/>
              </w:rPr>
              <w:t>　</w:t>
            </w:r>
          </w:p>
        </w:tc>
        <w:tc>
          <w:tcPr>
            <w:tcW w:w="2041" w:type="dxa"/>
            <w:gridSpan w:val="2"/>
            <w:tcBorders>
              <w:top w:val="single" w:color="auto" w:sz="4" w:space="0"/>
              <w:left w:val="nil"/>
              <w:bottom w:val="single" w:color="auto" w:sz="4" w:space="0"/>
              <w:right w:val="single" w:color="000000" w:sz="4" w:space="0"/>
            </w:tcBorders>
            <w:noWrap w:val="0"/>
            <w:vAlign w:val="center"/>
          </w:tcPr>
          <w:p w14:paraId="22AA3BC6">
            <w:pPr>
              <w:widowControl/>
              <w:spacing w:line="360" w:lineRule="exact"/>
              <w:jc w:val="center"/>
              <w:rPr>
                <w:rFonts w:hint="eastAsia"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val="en-US" w:eastAsia="zh-CN"/>
              </w:rPr>
              <w:t>128.58</w:t>
            </w:r>
            <w:r>
              <w:rPr>
                <w:rFonts w:hint="eastAsia" w:ascii="仿宋_GB2312" w:hAnsi="仿宋_GB2312" w:eastAsia="仿宋_GB2312" w:cs="仿宋_GB2312"/>
                <w:color w:val="auto"/>
                <w:sz w:val="20"/>
                <w:szCs w:val="20"/>
                <w:highlight w:val="none"/>
              </w:rPr>
              <w:t>　</w:t>
            </w:r>
          </w:p>
        </w:tc>
      </w:tr>
      <w:tr w14:paraId="6887EBBB">
        <w:tblPrEx>
          <w:tblCellMar>
            <w:top w:w="0" w:type="dxa"/>
            <w:left w:w="108" w:type="dxa"/>
            <w:bottom w:w="0" w:type="dxa"/>
            <w:right w:w="108" w:type="dxa"/>
          </w:tblCellMar>
        </w:tblPrEx>
        <w:trPr>
          <w:trHeight w:val="0" w:hRule="atLeast"/>
          <w:jc w:val="center"/>
        </w:trPr>
        <w:tc>
          <w:tcPr>
            <w:tcW w:w="3354" w:type="dxa"/>
            <w:tcBorders>
              <w:top w:val="nil"/>
              <w:left w:val="single" w:color="auto" w:sz="4" w:space="0"/>
              <w:bottom w:val="single" w:color="auto" w:sz="4" w:space="0"/>
              <w:right w:val="single" w:color="auto" w:sz="4" w:space="0"/>
            </w:tcBorders>
            <w:noWrap w:val="0"/>
            <w:vAlign w:val="center"/>
          </w:tcPr>
          <w:p w14:paraId="4E9789D4">
            <w:pPr>
              <w:widowControl/>
              <w:spacing w:line="360" w:lineRule="exact"/>
              <w:jc w:val="left"/>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 xml:space="preserve">          会议费、培训费</w:t>
            </w:r>
          </w:p>
        </w:tc>
        <w:tc>
          <w:tcPr>
            <w:tcW w:w="2038" w:type="dxa"/>
            <w:gridSpan w:val="2"/>
            <w:tcBorders>
              <w:top w:val="single" w:color="auto" w:sz="4" w:space="0"/>
              <w:left w:val="nil"/>
              <w:bottom w:val="single" w:color="auto" w:sz="4" w:space="0"/>
              <w:right w:val="single" w:color="000000" w:sz="4" w:space="0"/>
            </w:tcBorders>
            <w:noWrap w:val="0"/>
            <w:vAlign w:val="center"/>
          </w:tcPr>
          <w:p w14:paraId="78331E53">
            <w:pPr>
              <w:widowControl/>
              <w:spacing w:line="360" w:lineRule="exact"/>
              <w:jc w:val="center"/>
              <w:rPr>
                <w:rFonts w:hint="eastAsia"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val="en-US" w:eastAsia="zh-CN"/>
              </w:rPr>
              <w:t>4.99</w:t>
            </w:r>
            <w:r>
              <w:rPr>
                <w:rFonts w:hint="eastAsia" w:ascii="仿宋_GB2312" w:hAnsi="仿宋_GB2312" w:eastAsia="仿宋_GB2312" w:cs="仿宋_GB2312"/>
                <w:color w:val="auto"/>
                <w:sz w:val="20"/>
                <w:szCs w:val="20"/>
                <w:highlight w:val="none"/>
              </w:rPr>
              <w:t>　</w:t>
            </w:r>
          </w:p>
        </w:tc>
        <w:tc>
          <w:tcPr>
            <w:tcW w:w="2240" w:type="dxa"/>
            <w:gridSpan w:val="2"/>
            <w:tcBorders>
              <w:top w:val="single" w:color="auto" w:sz="4" w:space="0"/>
              <w:left w:val="nil"/>
              <w:bottom w:val="single" w:color="auto" w:sz="4" w:space="0"/>
              <w:right w:val="single" w:color="000000" w:sz="4" w:space="0"/>
            </w:tcBorders>
            <w:noWrap w:val="0"/>
            <w:vAlign w:val="center"/>
          </w:tcPr>
          <w:p w14:paraId="52193099">
            <w:pPr>
              <w:widowControl/>
              <w:spacing w:line="360" w:lineRule="exact"/>
              <w:jc w:val="center"/>
              <w:rPr>
                <w:rFonts w:hint="eastAsia"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val="en-US" w:eastAsia="zh-CN"/>
              </w:rPr>
              <w:t>8.47</w:t>
            </w:r>
            <w:r>
              <w:rPr>
                <w:rFonts w:hint="eastAsia" w:ascii="仿宋_GB2312" w:hAnsi="仿宋_GB2312" w:eastAsia="仿宋_GB2312" w:cs="仿宋_GB2312"/>
                <w:color w:val="auto"/>
                <w:sz w:val="20"/>
                <w:szCs w:val="20"/>
                <w:highlight w:val="none"/>
              </w:rPr>
              <w:t>　</w:t>
            </w:r>
          </w:p>
        </w:tc>
        <w:tc>
          <w:tcPr>
            <w:tcW w:w="2041" w:type="dxa"/>
            <w:gridSpan w:val="2"/>
            <w:tcBorders>
              <w:top w:val="single" w:color="auto" w:sz="4" w:space="0"/>
              <w:left w:val="nil"/>
              <w:bottom w:val="single" w:color="auto" w:sz="4" w:space="0"/>
              <w:right w:val="single" w:color="000000" w:sz="4" w:space="0"/>
            </w:tcBorders>
            <w:noWrap w:val="0"/>
            <w:vAlign w:val="center"/>
          </w:tcPr>
          <w:p w14:paraId="118E6197">
            <w:pPr>
              <w:widowControl/>
              <w:spacing w:line="360" w:lineRule="exact"/>
              <w:jc w:val="center"/>
              <w:rPr>
                <w:rFonts w:hint="eastAsia"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val="en-US" w:eastAsia="zh-CN"/>
              </w:rPr>
              <w:t>16.56</w:t>
            </w:r>
            <w:r>
              <w:rPr>
                <w:rFonts w:hint="eastAsia" w:ascii="仿宋_GB2312" w:hAnsi="仿宋_GB2312" w:eastAsia="仿宋_GB2312" w:cs="仿宋_GB2312"/>
                <w:color w:val="auto"/>
                <w:sz w:val="20"/>
                <w:szCs w:val="20"/>
                <w:highlight w:val="none"/>
              </w:rPr>
              <w:t>　</w:t>
            </w:r>
          </w:p>
        </w:tc>
      </w:tr>
      <w:tr w14:paraId="15166FBA">
        <w:tblPrEx>
          <w:tblCellMar>
            <w:top w:w="0" w:type="dxa"/>
            <w:left w:w="108" w:type="dxa"/>
            <w:bottom w:w="0" w:type="dxa"/>
            <w:right w:w="108" w:type="dxa"/>
          </w:tblCellMar>
        </w:tblPrEx>
        <w:trPr>
          <w:trHeight w:val="0" w:hRule="atLeast"/>
          <w:jc w:val="center"/>
        </w:trPr>
        <w:tc>
          <w:tcPr>
            <w:tcW w:w="3354" w:type="dxa"/>
            <w:tcBorders>
              <w:top w:val="nil"/>
              <w:left w:val="single" w:color="auto" w:sz="4" w:space="0"/>
              <w:bottom w:val="single" w:color="auto" w:sz="4" w:space="0"/>
              <w:right w:val="single" w:color="auto" w:sz="4" w:space="0"/>
            </w:tcBorders>
            <w:noWrap w:val="0"/>
            <w:vAlign w:val="center"/>
          </w:tcPr>
          <w:p w14:paraId="456CF81D">
            <w:pPr>
              <w:widowControl/>
              <w:spacing w:line="360" w:lineRule="exact"/>
              <w:jc w:val="left"/>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政府采购金额</w:t>
            </w:r>
          </w:p>
        </w:tc>
        <w:tc>
          <w:tcPr>
            <w:tcW w:w="2038" w:type="dxa"/>
            <w:gridSpan w:val="2"/>
            <w:tcBorders>
              <w:top w:val="single" w:color="auto" w:sz="4" w:space="0"/>
              <w:left w:val="nil"/>
              <w:bottom w:val="single" w:color="auto" w:sz="4" w:space="0"/>
              <w:right w:val="single" w:color="000000" w:sz="4" w:space="0"/>
            </w:tcBorders>
            <w:noWrap w:val="0"/>
            <w:vAlign w:val="center"/>
          </w:tcPr>
          <w:p w14:paraId="1223213A">
            <w:pPr>
              <w:widowControl/>
              <w:spacing w:line="360" w:lineRule="exact"/>
              <w:ind w:firstLine="600" w:firstLineChars="300"/>
              <w:jc w:val="both"/>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lang w:val="en-US" w:eastAsia="zh-CN"/>
              </w:rPr>
              <w:t>3256.08</w:t>
            </w:r>
          </w:p>
        </w:tc>
        <w:tc>
          <w:tcPr>
            <w:tcW w:w="2240" w:type="dxa"/>
            <w:gridSpan w:val="2"/>
            <w:tcBorders>
              <w:top w:val="single" w:color="auto" w:sz="4" w:space="0"/>
              <w:left w:val="nil"/>
              <w:bottom w:val="single" w:color="auto" w:sz="4" w:space="0"/>
              <w:right w:val="single" w:color="000000" w:sz="4" w:space="0"/>
            </w:tcBorders>
            <w:noWrap w:val="0"/>
            <w:vAlign w:val="center"/>
          </w:tcPr>
          <w:p w14:paraId="313F944A">
            <w:pPr>
              <w:widowControl/>
              <w:spacing w:line="360" w:lineRule="exact"/>
              <w:jc w:val="center"/>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lang w:val="en-US" w:eastAsia="zh-CN"/>
              </w:rPr>
              <w:t>4857.6</w:t>
            </w:r>
            <w:r>
              <w:rPr>
                <w:rFonts w:hint="eastAsia" w:ascii="仿宋_GB2312" w:hAnsi="仿宋_GB2312" w:eastAsia="仿宋_GB2312" w:cs="仿宋_GB2312"/>
                <w:sz w:val="20"/>
                <w:szCs w:val="20"/>
                <w:highlight w:val="none"/>
              </w:rPr>
              <w:t>　</w:t>
            </w:r>
          </w:p>
        </w:tc>
        <w:tc>
          <w:tcPr>
            <w:tcW w:w="2041" w:type="dxa"/>
            <w:gridSpan w:val="2"/>
            <w:tcBorders>
              <w:top w:val="single" w:color="auto" w:sz="4" w:space="0"/>
              <w:left w:val="nil"/>
              <w:bottom w:val="single" w:color="auto" w:sz="4" w:space="0"/>
              <w:right w:val="single" w:color="000000" w:sz="4" w:space="0"/>
            </w:tcBorders>
            <w:noWrap w:val="0"/>
            <w:vAlign w:val="center"/>
          </w:tcPr>
          <w:p w14:paraId="6871E97D">
            <w:pPr>
              <w:widowControl/>
              <w:spacing w:line="360" w:lineRule="exact"/>
              <w:jc w:val="center"/>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lang w:val="en-US" w:eastAsia="zh-CN"/>
              </w:rPr>
              <w:t>3695.72</w:t>
            </w:r>
            <w:r>
              <w:rPr>
                <w:rFonts w:hint="eastAsia" w:ascii="仿宋_GB2312" w:hAnsi="仿宋_GB2312" w:eastAsia="仿宋_GB2312" w:cs="仿宋_GB2312"/>
                <w:sz w:val="20"/>
                <w:szCs w:val="20"/>
                <w:highlight w:val="none"/>
              </w:rPr>
              <w:t>　</w:t>
            </w:r>
          </w:p>
        </w:tc>
      </w:tr>
      <w:tr w14:paraId="00917F81">
        <w:tblPrEx>
          <w:tblCellMar>
            <w:top w:w="0" w:type="dxa"/>
            <w:left w:w="108" w:type="dxa"/>
            <w:bottom w:w="0" w:type="dxa"/>
            <w:right w:w="108" w:type="dxa"/>
          </w:tblCellMar>
        </w:tblPrEx>
        <w:trPr>
          <w:trHeight w:val="0" w:hRule="atLeast"/>
          <w:jc w:val="center"/>
        </w:trPr>
        <w:tc>
          <w:tcPr>
            <w:tcW w:w="3354" w:type="dxa"/>
            <w:tcBorders>
              <w:top w:val="nil"/>
              <w:left w:val="single" w:color="auto" w:sz="4" w:space="0"/>
              <w:bottom w:val="single" w:color="auto" w:sz="4" w:space="0"/>
              <w:right w:val="single" w:color="auto" w:sz="4" w:space="0"/>
            </w:tcBorders>
            <w:noWrap w:val="0"/>
            <w:vAlign w:val="center"/>
          </w:tcPr>
          <w:p w14:paraId="1C3BD3FB">
            <w:pPr>
              <w:widowControl/>
              <w:spacing w:line="360" w:lineRule="exact"/>
              <w:jc w:val="left"/>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 xml:space="preserve">部门基本支出预算调整 </w:t>
            </w:r>
          </w:p>
        </w:tc>
        <w:tc>
          <w:tcPr>
            <w:tcW w:w="2038" w:type="dxa"/>
            <w:gridSpan w:val="2"/>
            <w:tcBorders>
              <w:top w:val="single" w:color="auto" w:sz="4" w:space="0"/>
              <w:left w:val="nil"/>
              <w:bottom w:val="single" w:color="auto" w:sz="4" w:space="0"/>
              <w:right w:val="single" w:color="000000" w:sz="4" w:space="0"/>
            </w:tcBorders>
            <w:noWrap w:val="0"/>
            <w:vAlign w:val="center"/>
          </w:tcPr>
          <w:p w14:paraId="15D5564A">
            <w:pPr>
              <w:widowControl/>
              <w:spacing w:line="360" w:lineRule="exact"/>
              <w:jc w:val="center"/>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w:t>
            </w:r>
          </w:p>
        </w:tc>
        <w:tc>
          <w:tcPr>
            <w:tcW w:w="2240" w:type="dxa"/>
            <w:gridSpan w:val="2"/>
            <w:tcBorders>
              <w:top w:val="single" w:color="auto" w:sz="4" w:space="0"/>
              <w:left w:val="nil"/>
              <w:bottom w:val="single" w:color="auto" w:sz="4" w:space="0"/>
              <w:right w:val="single" w:color="000000" w:sz="4" w:space="0"/>
            </w:tcBorders>
            <w:noWrap w:val="0"/>
            <w:vAlign w:val="center"/>
          </w:tcPr>
          <w:p w14:paraId="5D7909C2">
            <w:pPr>
              <w:widowControl/>
              <w:spacing w:line="360" w:lineRule="exact"/>
              <w:jc w:val="center"/>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　</w:t>
            </w:r>
          </w:p>
        </w:tc>
        <w:tc>
          <w:tcPr>
            <w:tcW w:w="2041" w:type="dxa"/>
            <w:gridSpan w:val="2"/>
            <w:tcBorders>
              <w:top w:val="single" w:color="auto" w:sz="4" w:space="0"/>
              <w:left w:val="nil"/>
              <w:bottom w:val="single" w:color="auto" w:sz="4" w:space="0"/>
              <w:right w:val="single" w:color="000000" w:sz="4" w:space="0"/>
            </w:tcBorders>
            <w:noWrap w:val="0"/>
            <w:vAlign w:val="center"/>
          </w:tcPr>
          <w:p w14:paraId="3EF9D332">
            <w:pPr>
              <w:widowControl/>
              <w:spacing w:line="360" w:lineRule="exact"/>
              <w:jc w:val="center"/>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　</w:t>
            </w:r>
          </w:p>
        </w:tc>
      </w:tr>
      <w:tr w14:paraId="3297F7D4">
        <w:tblPrEx>
          <w:tblCellMar>
            <w:top w:w="0" w:type="dxa"/>
            <w:left w:w="108" w:type="dxa"/>
            <w:bottom w:w="0" w:type="dxa"/>
            <w:right w:w="108" w:type="dxa"/>
          </w:tblCellMar>
        </w:tblPrEx>
        <w:trPr>
          <w:trHeight w:val="1065" w:hRule="atLeast"/>
          <w:jc w:val="center"/>
        </w:trPr>
        <w:tc>
          <w:tcPr>
            <w:tcW w:w="3354" w:type="dxa"/>
            <w:vMerge w:val="restart"/>
            <w:tcBorders>
              <w:top w:val="nil"/>
              <w:left w:val="single" w:color="auto" w:sz="4" w:space="0"/>
              <w:bottom w:val="single" w:color="auto" w:sz="4" w:space="0"/>
              <w:right w:val="single" w:color="auto" w:sz="4" w:space="0"/>
            </w:tcBorders>
            <w:noWrap w:val="0"/>
            <w:vAlign w:val="center"/>
          </w:tcPr>
          <w:p w14:paraId="7304CD49">
            <w:pPr>
              <w:widowControl/>
              <w:spacing w:line="360" w:lineRule="exact"/>
              <w:jc w:val="center"/>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楼堂馆所控制情况</w:t>
            </w:r>
            <w:r>
              <w:rPr>
                <w:rFonts w:hint="eastAsia" w:ascii="仿宋_GB2312" w:hAnsi="仿宋_GB2312" w:eastAsia="仿宋_GB2312" w:cs="仿宋_GB2312"/>
                <w:sz w:val="20"/>
                <w:szCs w:val="20"/>
                <w:highlight w:val="none"/>
              </w:rPr>
              <w:br w:type="textWrapping"/>
            </w:r>
            <w:r>
              <w:rPr>
                <w:rFonts w:hint="eastAsia" w:ascii="仿宋_GB2312" w:hAnsi="仿宋_GB2312" w:eastAsia="仿宋_GB2312" w:cs="仿宋_GB2312"/>
                <w:sz w:val="20"/>
                <w:szCs w:val="20"/>
                <w:highlight w:val="none"/>
              </w:rPr>
              <w:t>（202</w:t>
            </w:r>
            <w:r>
              <w:rPr>
                <w:rFonts w:hint="eastAsia" w:ascii="仿宋_GB2312" w:hAnsi="仿宋_GB2312" w:eastAsia="仿宋_GB2312" w:cs="仿宋_GB2312"/>
                <w:sz w:val="20"/>
                <w:szCs w:val="20"/>
                <w:highlight w:val="none"/>
                <w:lang w:val="en-US" w:eastAsia="zh-CN"/>
              </w:rPr>
              <w:t>4</w:t>
            </w:r>
            <w:r>
              <w:rPr>
                <w:rFonts w:hint="eastAsia" w:ascii="仿宋_GB2312" w:hAnsi="仿宋_GB2312" w:eastAsia="仿宋_GB2312" w:cs="仿宋_GB2312"/>
                <w:sz w:val="20"/>
                <w:szCs w:val="20"/>
                <w:highlight w:val="none"/>
              </w:rPr>
              <w:t>年完工项目）</w:t>
            </w:r>
          </w:p>
        </w:tc>
        <w:tc>
          <w:tcPr>
            <w:tcW w:w="1189" w:type="dxa"/>
            <w:tcBorders>
              <w:top w:val="nil"/>
              <w:left w:val="nil"/>
              <w:bottom w:val="single" w:color="auto" w:sz="4" w:space="0"/>
              <w:right w:val="single" w:color="auto" w:sz="4" w:space="0"/>
            </w:tcBorders>
            <w:noWrap w:val="0"/>
            <w:vAlign w:val="center"/>
          </w:tcPr>
          <w:p w14:paraId="192D47DC">
            <w:pPr>
              <w:widowControl/>
              <w:spacing w:line="360" w:lineRule="exact"/>
              <w:jc w:val="center"/>
              <w:rPr>
                <w:rFonts w:hint="eastAsia" w:ascii="仿宋_GB2312" w:hAnsi="仿宋_GB2312" w:eastAsia="仿宋_GB2312" w:cs="仿宋_GB2312"/>
                <w:bCs/>
                <w:sz w:val="20"/>
                <w:szCs w:val="20"/>
                <w:highlight w:val="none"/>
              </w:rPr>
            </w:pPr>
            <w:r>
              <w:rPr>
                <w:rFonts w:hint="eastAsia" w:ascii="仿宋_GB2312" w:hAnsi="仿宋_GB2312" w:eastAsia="仿宋_GB2312" w:cs="仿宋_GB2312"/>
                <w:bCs/>
                <w:sz w:val="20"/>
                <w:szCs w:val="20"/>
                <w:highlight w:val="none"/>
              </w:rPr>
              <w:t>批复规模</w:t>
            </w:r>
            <w:r>
              <w:rPr>
                <w:rFonts w:hint="eastAsia" w:ascii="仿宋_GB2312" w:hAnsi="仿宋_GB2312" w:eastAsia="仿宋_GB2312" w:cs="仿宋_GB2312"/>
                <w:bCs/>
                <w:sz w:val="20"/>
                <w:szCs w:val="20"/>
                <w:highlight w:val="none"/>
              </w:rPr>
              <w:br w:type="textWrapping"/>
            </w:r>
            <w:r>
              <w:rPr>
                <w:rFonts w:hint="eastAsia" w:ascii="仿宋_GB2312" w:hAnsi="仿宋_GB2312" w:eastAsia="仿宋_GB2312" w:cs="仿宋_GB2312"/>
                <w:bCs/>
                <w:sz w:val="20"/>
                <w:szCs w:val="20"/>
                <w:highlight w:val="none"/>
              </w:rPr>
              <w:t>（㎡）</w:t>
            </w:r>
          </w:p>
        </w:tc>
        <w:tc>
          <w:tcPr>
            <w:tcW w:w="849" w:type="dxa"/>
            <w:tcBorders>
              <w:top w:val="nil"/>
              <w:left w:val="nil"/>
              <w:bottom w:val="single" w:color="auto" w:sz="4" w:space="0"/>
              <w:right w:val="single" w:color="auto" w:sz="4" w:space="0"/>
            </w:tcBorders>
            <w:noWrap w:val="0"/>
            <w:vAlign w:val="center"/>
          </w:tcPr>
          <w:p w14:paraId="25688523">
            <w:pPr>
              <w:widowControl/>
              <w:spacing w:line="360" w:lineRule="exact"/>
              <w:jc w:val="center"/>
              <w:rPr>
                <w:rFonts w:hint="eastAsia" w:ascii="仿宋_GB2312" w:hAnsi="仿宋_GB2312" w:eastAsia="仿宋_GB2312" w:cs="仿宋_GB2312"/>
                <w:bCs/>
                <w:sz w:val="20"/>
                <w:szCs w:val="20"/>
                <w:highlight w:val="none"/>
              </w:rPr>
            </w:pPr>
            <w:r>
              <w:rPr>
                <w:rFonts w:hint="eastAsia" w:ascii="仿宋_GB2312" w:hAnsi="仿宋_GB2312" w:eastAsia="仿宋_GB2312" w:cs="仿宋_GB2312"/>
                <w:bCs/>
                <w:sz w:val="20"/>
                <w:szCs w:val="20"/>
                <w:highlight w:val="none"/>
              </w:rPr>
              <w:t>实际规模（㎡）</w:t>
            </w:r>
          </w:p>
        </w:tc>
        <w:tc>
          <w:tcPr>
            <w:tcW w:w="1129" w:type="dxa"/>
            <w:tcBorders>
              <w:top w:val="nil"/>
              <w:left w:val="nil"/>
              <w:bottom w:val="single" w:color="auto" w:sz="4" w:space="0"/>
              <w:right w:val="single" w:color="auto" w:sz="4" w:space="0"/>
            </w:tcBorders>
            <w:noWrap w:val="0"/>
            <w:vAlign w:val="center"/>
          </w:tcPr>
          <w:p w14:paraId="6577282B">
            <w:pPr>
              <w:widowControl/>
              <w:spacing w:line="360" w:lineRule="exact"/>
              <w:jc w:val="center"/>
              <w:rPr>
                <w:rFonts w:hint="eastAsia" w:ascii="仿宋_GB2312" w:hAnsi="仿宋_GB2312" w:eastAsia="仿宋_GB2312" w:cs="仿宋_GB2312"/>
                <w:bCs/>
                <w:sz w:val="20"/>
                <w:szCs w:val="20"/>
                <w:highlight w:val="none"/>
              </w:rPr>
            </w:pPr>
            <w:r>
              <w:rPr>
                <w:rFonts w:hint="eastAsia" w:ascii="仿宋_GB2312" w:hAnsi="仿宋_GB2312" w:eastAsia="仿宋_GB2312" w:cs="仿宋_GB2312"/>
                <w:bCs/>
                <w:sz w:val="20"/>
                <w:szCs w:val="20"/>
                <w:highlight w:val="none"/>
              </w:rPr>
              <w:t>规模控制率</w:t>
            </w:r>
          </w:p>
        </w:tc>
        <w:tc>
          <w:tcPr>
            <w:tcW w:w="1111" w:type="dxa"/>
            <w:tcBorders>
              <w:top w:val="nil"/>
              <w:left w:val="nil"/>
              <w:bottom w:val="single" w:color="auto" w:sz="4" w:space="0"/>
              <w:right w:val="single" w:color="auto" w:sz="4" w:space="0"/>
            </w:tcBorders>
            <w:noWrap w:val="0"/>
            <w:vAlign w:val="center"/>
          </w:tcPr>
          <w:p w14:paraId="237C2A5F">
            <w:pPr>
              <w:widowControl/>
              <w:spacing w:line="360" w:lineRule="exact"/>
              <w:jc w:val="center"/>
              <w:rPr>
                <w:rFonts w:hint="eastAsia" w:ascii="仿宋_GB2312" w:hAnsi="仿宋_GB2312" w:eastAsia="仿宋_GB2312" w:cs="仿宋_GB2312"/>
                <w:bCs/>
                <w:sz w:val="20"/>
                <w:szCs w:val="20"/>
                <w:highlight w:val="none"/>
              </w:rPr>
            </w:pPr>
            <w:r>
              <w:rPr>
                <w:rFonts w:hint="eastAsia" w:ascii="仿宋_GB2312" w:hAnsi="仿宋_GB2312" w:eastAsia="仿宋_GB2312" w:cs="仿宋_GB2312"/>
                <w:bCs/>
                <w:sz w:val="20"/>
                <w:szCs w:val="20"/>
                <w:highlight w:val="none"/>
              </w:rPr>
              <w:t>预算投资（万元）</w:t>
            </w:r>
          </w:p>
        </w:tc>
        <w:tc>
          <w:tcPr>
            <w:tcW w:w="1081" w:type="dxa"/>
            <w:tcBorders>
              <w:top w:val="nil"/>
              <w:left w:val="nil"/>
              <w:bottom w:val="single" w:color="auto" w:sz="4" w:space="0"/>
              <w:right w:val="single" w:color="auto" w:sz="4" w:space="0"/>
            </w:tcBorders>
            <w:noWrap w:val="0"/>
            <w:vAlign w:val="center"/>
          </w:tcPr>
          <w:p w14:paraId="64FF965A">
            <w:pPr>
              <w:widowControl/>
              <w:spacing w:line="360" w:lineRule="exact"/>
              <w:jc w:val="center"/>
              <w:rPr>
                <w:rFonts w:hint="eastAsia" w:ascii="仿宋_GB2312" w:hAnsi="仿宋_GB2312" w:eastAsia="仿宋_GB2312" w:cs="仿宋_GB2312"/>
                <w:bCs/>
                <w:sz w:val="20"/>
                <w:szCs w:val="20"/>
                <w:highlight w:val="none"/>
              </w:rPr>
            </w:pPr>
            <w:r>
              <w:rPr>
                <w:rFonts w:hint="eastAsia" w:ascii="仿宋_GB2312" w:hAnsi="仿宋_GB2312" w:eastAsia="仿宋_GB2312" w:cs="仿宋_GB2312"/>
                <w:bCs/>
                <w:sz w:val="20"/>
                <w:szCs w:val="20"/>
                <w:highlight w:val="none"/>
              </w:rPr>
              <w:t>实际投资（万元）</w:t>
            </w:r>
          </w:p>
        </w:tc>
        <w:tc>
          <w:tcPr>
            <w:tcW w:w="960" w:type="dxa"/>
            <w:tcBorders>
              <w:top w:val="nil"/>
              <w:left w:val="nil"/>
              <w:bottom w:val="single" w:color="auto" w:sz="4" w:space="0"/>
              <w:right w:val="single" w:color="auto" w:sz="4" w:space="0"/>
            </w:tcBorders>
            <w:noWrap w:val="0"/>
            <w:vAlign w:val="center"/>
          </w:tcPr>
          <w:p w14:paraId="52807C01">
            <w:pPr>
              <w:widowControl/>
              <w:spacing w:line="360" w:lineRule="exact"/>
              <w:jc w:val="center"/>
              <w:rPr>
                <w:rFonts w:hint="eastAsia" w:ascii="仿宋_GB2312" w:hAnsi="仿宋_GB2312" w:eastAsia="仿宋_GB2312" w:cs="仿宋_GB2312"/>
                <w:bCs/>
                <w:sz w:val="20"/>
                <w:szCs w:val="20"/>
                <w:highlight w:val="none"/>
              </w:rPr>
            </w:pPr>
            <w:r>
              <w:rPr>
                <w:rFonts w:hint="eastAsia" w:ascii="仿宋_GB2312" w:hAnsi="仿宋_GB2312" w:eastAsia="仿宋_GB2312" w:cs="仿宋_GB2312"/>
                <w:bCs/>
                <w:sz w:val="20"/>
                <w:szCs w:val="20"/>
                <w:highlight w:val="none"/>
              </w:rPr>
              <w:t>投资概算控制率</w:t>
            </w:r>
          </w:p>
        </w:tc>
      </w:tr>
      <w:tr w14:paraId="5320055C">
        <w:tblPrEx>
          <w:tblCellMar>
            <w:top w:w="0" w:type="dxa"/>
            <w:left w:w="108" w:type="dxa"/>
            <w:bottom w:w="0" w:type="dxa"/>
            <w:right w:w="108" w:type="dxa"/>
          </w:tblCellMar>
        </w:tblPrEx>
        <w:trPr>
          <w:trHeight w:val="0" w:hRule="atLeast"/>
          <w:jc w:val="center"/>
        </w:trPr>
        <w:tc>
          <w:tcPr>
            <w:tcW w:w="3354" w:type="dxa"/>
            <w:vMerge w:val="continue"/>
            <w:tcBorders>
              <w:top w:val="nil"/>
              <w:left w:val="single" w:color="auto" w:sz="4" w:space="0"/>
              <w:bottom w:val="single" w:color="auto" w:sz="4" w:space="0"/>
              <w:right w:val="single" w:color="auto" w:sz="4" w:space="0"/>
            </w:tcBorders>
            <w:noWrap w:val="0"/>
            <w:vAlign w:val="center"/>
          </w:tcPr>
          <w:p w14:paraId="6EA57657">
            <w:pPr>
              <w:widowControl/>
              <w:spacing w:line="360" w:lineRule="exact"/>
              <w:jc w:val="left"/>
              <w:rPr>
                <w:rFonts w:hint="eastAsia" w:ascii="仿宋_GB2312" w:hAnsi="仿宋_GB2312" w:eastAsia="仿宋_GB2312" w:cs="仿宋_GB2312"/>
                <w:sz w:val="20"/>
                <w:szCs w:val="20"/>
                <w:highlight w:val="none"/>
              </w:rPr>
            </w:pPr>
          </w:p>
        </w:tc>
        <w:tc>
          <w:tcPr>
            <w:tcW w:w="1189" w:type="dxa"/>
            <w:tcBorders>
              <w:top w:val="nil"/>
              <w:left w:val="nil"/>
              <w:bottom w:val="single" w:color="auto" w:sz="4" w:space="0"/>
              <w:right w:val="single" w:color="auto" w:sz="4" w:space="0"/>
            </w:tcBorders>
            <w:noWrap w:val="0"/>
            <w:vAlign w:val="center"/>
          </w:tcPr>
          <w:p w14:paraId="0989301D">
            <w:pPr>
              <w:widowControl/>
              <w:spacing w:line="360" w:lineRule="exact"/>
              <w:jc w:val="center"/>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lang w:val="en-US" w:eastAsia="zh-CN"/>
              </w:rPr>
              <w:t>0</w:t>
            </w:r>
            <w:r>
              <w:rPr>
                <w:rFonts w:hint="eastAsia" w:ascii="仿宋_GB2312" w:hAnsi="仿宋_GB2312" w:eastAsia="仿宋_GB2312" w:cs="仿宋_GB2312"/>
                <w:sz w:val="20"/>
                <w:szCs w:val="20"/>
                <w:highlight w:val="none"/>
              </w:rPr>
              <w:t>　</w:t>
            </w:r>
          </w:p>
        </w:tc>
        <w:tc>
          <w:tcPr>
            <w:tcW w:w="849" w:type="dxa"/>
            <w:tcBorders>
              <w:top w:val="nil"/>
              <w:left w:val="nil"/>
              <w:bottom w:val="single" w:color="auto" w:sz="4" w:space="0"/>
              <w:right w:val="single" w:color="auto" w:sz="4" w:space="0"/>
            </w:tcBorders>
            <w:noWrap w:val="0"/>
            <w:vAlign w:val="center"/>
          </w:tcPr>
          <w:p w14:paraId="3499C156">
            <w:pPr>
              <w:widowControl/>
              <w:spacing w:line="360" w:lineRule="exact"/>
              <w:jc w:val="left"/>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rPr>
              <w:t>　</w:t>
            </w:r>
            <w:r>
              <w:rPr>
                <w:rFonts w:hint="eastAsia" w:ascii="仿宋_GB2312" w:hAnsi="仿宋_GB2312" w:eastAsia="仿宋_GB2312" w:cs="仿宋_GB2312"/>
                <w:sz w:val="20"/>
                <w:szCs w:val="20"/>
                <w:highlight w:val="none"/>
                <w:lang w:val="en-US" w:eastAsia="zh-CN"/>
              </w:rPr>
              <w:t>0</w:t>
            </w:r>
          </w:p>
        </w:tc>
        <w:tc>
          <w:tcPr>
            <w:tcW w:w="1129" w:type="dxa"/>
            <w:tcBorders>
              <w:top w:val="nil"/>
              <w:left w:val="nil"/>
              <w:bottom w:val="single" w:color="auto" w:sz="4" w:space="0"/>
              <w:right w:val="single" w:color="auto" w:sz="4" w:space="0"/>
            </w:tcBorders>
            <w:noWrap w:val="0"/>
            <w:vAlign w:val="center"/>
          </w:tcPr>
          <w:p w14:paraId="5EA86255">
            <w:pPr>
              <w:widowControl/>
              <w:spacing w:line="360" w:lineRule="exact"/>
              <w:jc w:val="left"/>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rPr>
              <w:t>　</w:t>
            </w:r>
            <w:r>
              <w:rPr>
                <w:rFonts w:hint="eastAsia" w:ascii="仿宋_GB2312" w:hAnsi="仿宋_GB2312" w:eastAsia="仿宋_GB2312" w:cs="仿宋_GB2312"/>
                <w:sz w:val="20"/>
                <w:szCs w:val="20"/>
                <w:highlight w:val="none"/>
                <w:lang w:val="en-US" w:eastAsia="zh-CN"/>
              </w:rPr>
              <w:t>0</w:t>
            </w:r>
          </w:p>
        </w:tc>
        <w:tc>
          <w:tcPr>
            <w:tcW w:w="1111" w:type="dxa"/>
            <w:tcBorders>
              <w:top w:val="nil"/>
              <w:left w:val="nil"/>
              <w:bottom w:val="single" w:color="auto" w:sz="4" w:space="0"/>
              <w:right w:val="single" w:color="auto" w:sz="4" w:space="0"/>
            </w:tcBorders>
            <w:noWrap w:val="0"/>
            <w:vAlign w:val="center"/>
          </w:tcPr>
          <w:p w14:paraId="738D5239">
            <w:pPr>
              <w:widowControl/>
              <w:spacing w:line="360" w:lineRule="exact"/>
              <w:jc w:val="left"/>
              <w:rPr>
                <w:rFonts w:hint="default"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rPr>
              <w:t>　</w:t>
            </w:r>
            <w:r>
              <w:rPr>
                <w:rFonts w:hint="eastAsia" w:ascii="仿宋_GB2312" w:hAnsi="仿宋_GB2312" w:eastAsia="仿宋_GB2312" w:cs="仿宋_GB2312"/>
                <w:sz w:val="20"/>
                <w:szCs w:val="20"/>
                <w:highlight w:val="none"/>
                <w:lang w:val="en-US" w:eastAsia="zh-CN"/>
              </w:rPr>
              <w:t>0</w:t>
            </w:r>
          </w:p>
        </w:tc>
        <w:tc>
          <w:tcPr>
            <w:tcW w:w="1081" w:type="dxa"/>
            <w:tcBorders>
              <w:top w:val="nil"/>
              <w:left w:val="nil"/>
              <w:bottom w:val="single" w:color="auto" w:sz="4" w:space="0"/>
              <w:right w:val="single" w:color="auto" w:sz="4" w:space="0"/>
            </w:tcBorders>
            <w:noWrap w:val="0"/>
            <w:vAlign w:val="center"/>
          </w:tcPr>
          <w:p w14:paraId="213033A0">
            <w:pPr>
              <w:widowControl/>
              <w:spacing w:line="360" w:lineRule="exact"/>
              <w:jc w:val="left"/>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rPr>
              <w:t>　</w:t>
            </w:r>
            <w:r>
              <w:rPr>
                <w:rFonts w:hint="eastAsia" w:ascii="仿宋_GB2312" w:hAnsi="仿宋_GB2312" w:eastAsia="仿宋_GB2312" w:cs="仿宋_GB2312"/>
                <w:sz w:val="20"/>
                <w:szCs w:val="20"/>
                <w:highlight w:val="none"/>
                <w:lang w:val="en-US" w:eastAsia="zh-CN"/>
              </w:rPr>
              <w:t>0</w:t>
            </w:r>
          </w:p>
        </w:tc>
        <w:tc>
          <w:tcPr>
            <w:tcW w:w="960" w:type="dxa"/>
            <w:tcBorders>
              <w:top w:val="nil"/>
              <w:left w:val="nil"/>
              <w:bottom w:val="single" w:color="auto" w:sz="4" w:space="0"/>
              <w:right w:val="single" w:color="auto" w:sz="4" w:space="0"/>
            </w:tcBorders>
            <w:noWrap w:val="0"/>
            <w:vAlign w:val="center"/>
          </w:tcPr>
          <w:p w14:paraId="31AB7A00">
            <w:pPr>
              <w:widowControl/>
              <w:spacing w:line="360" w:lineRule="exact"/>
              <w:jc w:val="left"/>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rPr>
              <w:t>　</w:t>
            </w:r>
            <w:r>
              <w:rPr>
                <w:rFonts w:hint="eastAsia" w:ascii="仿宋_GB2312" w:hAnsi="仿宋_GB2312" w:eastAsia="仿宋_GB2312" w:cs="仿宋_GB2312"/>
                <w:sz w:val="20"/>
                <w:szCs w:val="20"/>
                <w:highlight w:val="none"/>
                <w:lang w:val="en-US" w:eastAsia="zh-CN"/>
              </w:rPr>
              <w:t>0</w:t>
            </w:r>
          </w:p>
        </w:tc>
      </w:tr>
      <w:tr w14:paraId="300C8865">
        <w:tblPrEx>
          <w:tblCellMar>
            <w:top w:w="0" w:type="dxa"/>
            <w:left w:w="108" w:type="dxa"/>
            <w:bottom w:w="0" w:type="dxa"/>
            <w:right w:w="108" w:type="dxa"/>
          </w:tblCellMar>
        </w:tblPrEx>
        <w:trPr>
          <w:trHeight w:val="0" w:hRule="atLeast"/>
          <w:jc w:val="center"/>
        </w:trPr>
        <w:tc>
          <w:tcPr>
            <w:tcW w:w="3354" w:type="dxa"/>
            <w:tcBorders>
              <w:top w:val="nil"/>
              <w:left w:val="single" w:color="auto" w:sz="4" w:space="0"/>
              <w:bottom w:val="single" w:color="auto" w:sz="4" w:space="0"/>
              <w:right w:val="single" w:color="auto" w:sz="4" w:space="0"/>
            </w:tcBorders>
            <w:noWrap w:val="0"/>
            <w:vAlign w:val="center"/>
          </w:tcPr>
          <w:p w14:paraId="2CE212E0">
            <w:pPr>
              <w:widowControl/>
              <w:spacing w:line="360" w:lineRule="exact"/>
              <w:jc w:val="center"/>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厉行节约保障措施</w:t>
            </w:r>
          </w:p>
        </w:tc>
        <w:tc>
          <w:tcPr>
            <w:tcW w:w="6319" w:type="dxa"/>
            <w:gridSpan w:val="6"/>
            <w:tcBorders>
              <w:top w:val="single" w:color="auto" w:sz="4" w:space="0"/>
              <w:left w:val="nil"/>
              <w:bottom w:val="single" w:color="auto" w:sz="4" w:space="0"/>
              <w:right w:val="single" w:color="000000" w:sz="4" w:space="0"/>
            </w:tcBorders>
            <w:noWrap w:val="0"/>
            <w:vAlign w:val="center"/>
          </w:tcPr>
          <w:p w14:paraId="2D1BD516">
            <w:pPr>
              <w:widowControl/>
              <w:spacing w:line="360" w:lineRule="exact"/>
              <w:jc w:val="center"/>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lang w:val="en-US" w:eastAsia="zh-CN"/>
              </w:rPr>
              <w:t>精细化管理，严格遵守中央八项规定，厉行节约</w:t>
            </w:r>
            <w:r>
              <w:rPr>
                <w:rFonts w:hint="eastAsia" w:ascii="仿宋_GB2312" w:hAnsi="仿宋_GB2312" w:eastAsia="仿宋_GB2312" w:cs="仿宋_GB2312"/>
                <w:sz w:val="20"/>
                <w:szCs w:val="20"/>
                <w:highlight w:val="none"/>
              </w:rPr>
              <w:t>　</w:t>
            </w:r>
          </w:p>
        </w:tc>
      </w:tr>
    </w:tbl>
    <w:p w14:paraId="6C9D8806">
      <w:pPr>
        <w:widowControl/>
        <w:spacing w:afterLines="0" w:line="400" w:lineRule="exact"/>
        <w:ind w:left="660" w:hanging="660" w:hangingChars="300"/>
        <w:jc w:val="left"/>
        <w:rPr>
          <w:rFonts w:hint="default" w:ascii="Times New Roman" w:hAnsi="Times New Roman" w:eastAsia="仿宋_GB2312" w:cs="Times New Roman"/>
          <w:sz w:val="22"/>
          <w:highlight w:val="none"/>
        </w:rPr>
      </w:pPr>
      <w:r>
        <w:rPr>
          <w:rFonts w:hint="default" w:ascii="Times New Roman" w:hAnsi="Times New Roman" w:eastAsia="仿宋_GB2312" w:cs="Times New Roman"/>
          <w:sz w:val="22"/>
          <w:highlight w:val="none"/>
        </w:rPr>
        <w:t>说明：“项目支出”需要填报基本支出以外的所有项目支出情况，“公用经费”填报基本支出中的一般商品和服务支出。</w:t>
      </w:r>
    </w:p>
    <w:p w14:paraId="10A703FA">
      <w:pPr>
        <w:widowControl/>
        <w:spacing w:afterLines="0" w:line="400" w:lineRule="exact"/>
        <w:jc w:val="left"/>
        <w:rPr>
          <w:rFonts w:hint="default" w:ascii="Times New Roman" w:hAnsi="Times New Roman" w:eastAsia="仿宋_GB2312" w:cs="Times New Roman"/>
          <w:sz w:val="22"/>
          <w:highlight w:val="none"/>
        </w:rPr>
      </w:pPr>
    </w:p>
    <w:p w14:paraId="660BEA8E">
      <w:pPr>
        <w:widowControl/>
        <w:spacing w:after="0" w:afterLines="0" w:line="400" w:lineRule="exact"/>
        <w:jc w:val="left"/>
        <w:rPr>
          <w:rFonts w:hint="eastAsia" w:ascii="黑体" w:hAnsi="黑体" w:eastAsia="黑体" w:cs="黑体"/>
          <w:sz w:val="32"/>
          <w:szCs w:val="32"/>
          <w:highlight w:val="none"/>
          <w:lang w:val="en-US" w:eastAsia="zh-CN"/>
        </w:rPr>
      </w:pPr>
      <w:r>
        <w:rPr>
          <w:rFonts w:hint="default" w:ascii="Times New Roman" w:hAnsi="Times New Roman" w:eastAsia="仿宋_GB2312" w:cs="Times New Roman"/>
          <w:sz w:val="22"/>
          <w:highlight w:val="none"/>
        </w:rPr>
        <w:t xml:space="preserve">填表人： </w:t>
      </w:r>
      <w:r>
        <w:rPr>
          <w:rFonts w:hint="eastAsia" w:eastAsia="仿宋_GB2312" w:cs="Times New Roman"/>
          <w:sz w:val="22"/>
          <w:highlight w:val="none"/>
          <w:lang w:val="en-US" w:eastAsia="zh-CN"/>
        </w:rPr>
        <w:t>徐军</w:t>
      </w:r>
      <w:r>
        <w:rPr>
          <w:rFonts w:hint="default" w:ascii="Times New Roman" w:hAnsi="Times New Roman" w:eastAsia="仿宋_GB2312" w:cs="Times New Roman"/>
          <w:sz w:val="22"/>
          <w:highlight w:val="none"/>
        </w:rPr>
        <w:t xml:space="preserve">  填报日期：</w:t>
      </w:r>
      <w:r>
        <w:rPr>
          <w:rFonts w:hint="eastAsia" w:eastAsia="仿宋_GB2312" w:cs="Times New Roman"/>
          <w:sz w:val="22"/>
          <w:highlight w:val="none"/>
          <w:lang w:val="en-US" w:eastAsia="zh-CN"/>
        </w:rPr>
        <w:t>2025-6-26</w:t>
      </w:r>
      <w:r>
        <w:rPr>
          <w:rFonts w:hint="default" w:ascii="Times New Roman" w:hAnsi="Times New Roman" w:eastAsia="仿宋_GB2312" w:cs="Times New Roman"/>
          <w:sz w:val="22"/>
          <w:highlight w:val="none"/>
        </w:rPr>
        <w:t xml:space="preserve">  联系电话：</w:t>
      </w:r>
      <w:r>
        <w:rPr>
          <w:rFonts w:hint="eastAsia" w:eastAsia="仿宋_GB2312" w:cs="Times New Roman"/>
          <w:sz w:val="22"/>
          <w:highlight w:val="none"/>
          <w:lang w:val="en-US" w:eastAsia="zh-CN"/>
        </w:rPr>
        <w:t>8831508</w:t>
      </w:r>
      <w:r>
        <w:rPr>
          <w:rFonts w:hint="default" w:ascii="Times New Roman" w:hAnsi="Times New Roman" w:eastAsia="仿宋_GB2312" w:cs="Times New Roman"/>
          <w:sz w:val="22"/>
          <w:highlight w:val="none"/>
        </w:rPr>
        <w:t xml:space="preserve"> </w:t>
      </w:r>
      <w:r>
        <w:rPr>
          <w:rFonts w:hint="eastAsia" w:eastAsia="仿宋_GB2312" w:cs="Times New Roman"/>
          <w:sz w:val="22"/>
          <w:highlight w:val="none"/>
          <w:lang w:val="en-US" w:eastAsia="zh-CN"/>
        </w:rPr>
        <w:t xml:space="preserve"> </w:t>
      </w:r>
      <w:r>
        <w:rPr>
          <w:rFonts w:hint="default" w:ascii="Times New Roman" w:hAnsi="Times New Roman" w:eastAsia="仿宋_GB2312" w:cs="Times New Roman"/>
          <w:sz w:val="22"/>
          <w:highlight w:val="none"/>
        </w:rPr>
        <w:t>单位负责人签字：</w:t>
      </w:r>
      <w:r>
        <w:rPr>
          <w:rFonts w:hint="eastAsia" w:eastAsia="仿宋_GB2312" w:cs="Times New Roman"/>
          <w:sz w:val="22"/>
          <w:highlight w:val="none"/>
          <w:lang w:val="en-US" w:eastAsia="zh-CN"/>
        </w:rPr>
        <w:t>周砺宏</w:t>
      </w:r>
      <w:r>
        <w:rPr>
          <w:rFonts w:hint="default" w:ascii="Times New Roman" w:hAnsi="Times New Roman" w:eastAsia="仿宋_GB2312" w:cs="Times New Roman"/>
          <w:sz w:val="22"/>
          <w:highlight w:val="none"/>
        </w:rPr>
        <w:br w:type="page"/>
      </w:r>
      <w:r>
        <w:rPr>
          <w:rFonts w:hint="eastAsia" w:ascii="黑体" w:hAnsi="黑体" w:eastAsia="黑体" w:cs="黑体"/>
          <w:sz w:val="32"/>
          <w:szCs w:val="32"/>
          <w:highlight w:val="none"/>
        </w:rPr>
        <w:t>附件</w:t>
      </w:r>
      <w:r>
        <w:rPr>
          <w:rFonts w:hint="eastAsia" w:ascii="黑体" w:hAnsi="黑体" w:eastAsia="黑体" w:cs="黑体"/>
          <w:sz w:val="32"/>
          <w:szCs w:val="32"/>
          <w:highlight w:val="none"/>
          <w:lang w:val="en-US" w:eastAsia="zh-CN"/>
        </w:rPr>
        <w:t>2</w:t>
      </w:r>
    </w:p>
    <w:p w14:paraId="4C4B2E64">
      <w:pPr>
        <w:widowControl/>
        <w:spacing w:after="0" w:afterLines="0" w:line="400" w:lineRule="exact"/>
        <w:jc w:val="left"/>
        <w:rPr>
          <w:rFonts w:hint="eastAsia" w:ascii="黑体" w:hAnsi="黑体" w:eastAsia="黑体" w:cs="黑体"/>
          <w:sz w:val="32"/>
          <w:szCs w:val="32"/>
          <w:highlight w:val="none"/>
          <w:lang w:val="en-US" w:eastAsia="zh-CN"/>
        </w:rPr>
      </w:pPr>
    </w:p>
    <w:p w14:paraId="77B90946">
      <w:pPr>
        <w:widowControl/>
        <w:spacing w:after="120" w:afterLines="50"/>
        <w:jc w:val="center"/>
        <w:rPr>
          <w:rFonts w:hint="eastAsia" w:ascii="方正小标宋简体" w:hAnsi="方正小标宋简体" w:eastAsia="方正小标宋简体" w:cs="方正小标宋简体"/>
          <w:color w:val="000000"/>
          <w:sz w:val="36"/>
          <w:szCs w:val="36"/>
          <w:highlight w:val="none"/>
        </w:rPr>
      </w:pPr>
      <w:r>
        <w:rPr>
          <w:rFonts w:hint="eastAsia" w:ascii="方正小标宋简体" w:hAnsi="方正小标宋简体" w:eastAsia="方正小标宋简体" w:cs="方正小标宋简体"/>
          <w:color w:val="000000"/>
          <w:sz w:val="36"/>
          <w:szCs w:val="36"/>
          <w:highlight w:val="none"/>
        </w:rPr>
        <w:t>202</w:t>
      </w:r>
      <w:r>
        <w:rPr>
          <w:rFonts w:hint="eastAsia" w:ascii="方正小标宋简体" w:hAnsi="方正小标宋简体" w:eastAsia="方正小标宋简体" w:cs="方正小标宋简体"/>
          <w:color w:val="000000"/>
          <w:sz w:val="36"/>
          <w:szCs w:val="36"/>
          <w:highlight w:val="none"/>
          <w:lang w:val="en-US" w:eastAsia="zh-CN"/>
        </w:rPr>
        <w:t>4</w:t>
      </w:r>
      <w:r>
        <w:rPr>
          <w:rFonts w:hint="eastAsia" w:ascii="方正小标宋简体" w:hAnsi="方正小标宋简体" w:eastAsia="方正小标宋简体" w:cs="方正小标宋简体"/>
          <w:color w:val="000000"/>
          <w:sz w:val="36"/>
          <w:szCs w:val="36"/>
          <w:highlight w:val="none"/>
        </w:rPr>
        <w:t>年度部门整体支出绩效自评表</w:t>
      </w:r>
    </w:p>
    <w:tbl>
      <w:tblPr>
        <w:tblStyle w:val="9"/>
        <w:tblW w:w="10079" w:type="dxa"/>
        <w:jc w:val="center"/>
        <w:tblLayout w:type="autofit"/>
        <w:tblCellMar>
          <w:top w:w="0" w:type="dxa"/>
          <w:left w:w="108" w:type="dxa"/>
          <w:bottom w:w="0" w:type="dxa"/>
          <w:right w:w="108" w:type="dxa"/>
        </w:tblCellMar>
      </w:tblPr>
      <w:tblGrid>
        <w:gridCol w:w="1080"/>
        <w:gridCol w:w="1080"/>
        <w:gridCol w:w="1034"/>
        <w:gridCol w:w="1270"/>
        <w:gridCol w:w="1311"/>
        <w:gridCol w:w="1269"/>
        <w:gridCol w:w="716"/>
        <w:gridCol w:w="873"/>
        <w:gridCol w:w="1446"/>
      </w:tblGrid>
      <w:tr w14:paraId="46F434EB">
        <w:tblPrEx>
          <w:tblCellMar>
            <w:top w:w="0" w:type="dxa"/>
            <w:left w:w="108" w:type="dxa"/>
            <w:bottom w:w="0" w:type="dxa"/>
            <w:right w:w="108" w:type="dxa"/>
          </w:tblCellMar>
        </w:tblPrEx>
        <w:trPr>
          <w:jc w:val="center"/>
        </w:trPr>
        <w:tc>
          <w:tcPr>
            <w:tcW w:w="1080" w:type="dxa"/>
            <w:tcBorders>
              <w:top w:val="single" w:color="auto" w:sz="4" w:space="0"/>
              <w:left w:val="single" w:color="auto" w:sz="4" w:space="0"/>
              <w:bottom w:val="single" w:color="auto" w:sz="4" w:space="0"/>
              <w:right w:val="single" w:color="auto" w:sz="4" w:space="0"/>
            </w:tcBorders>
            <w:noWrap w:val="0"/>
            <w:vAlign w:val="center"/>
          </w:tcPr>
          <w:p w14:paraId="3A63DE03">
            <w:pPr>
              <w:widowControl/>
              <w:spacing w:line="240" w:lineRule="exact"/>
              <w:jc w:val="left"/>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eastAsia="zh-CN"/>
              </w:rPr>
              <w:t>市</w:t>
            </w:r>
            <w:r>
              <w:rPr>
                <w:rFonts w:hint="eastAsia" w:ascii="仿宋_GB2312" w:hAnsi="仿宋_GB2312" w:eastAsia="仿宋_GB2312" w:cs="仿宋_GB2312"/>
                <w:color w:val="000000"/>
                <w:sz w:val="20"/>
                <w:szCs w:val="20"/>
                <w:highlight w:val="none"/>
              </w:rPr>
              <w:t>级预算部门名称</w:t>
            </w:r>
          </w:p>
        </w:tc>
        <w:tc>
          <w:tcPr>
            <w:tcW w:w="8999" w:type="dxa"/>
            <w:gridSpan w:val="8"/>
            <w:tcBorders>
              <w:top w:val="single" w:color="auto" w:sz="4" w:space="0"/>
              <w:left w:val="nil"/>
              <w:bottom w:val="single" w:color="auto" w:sz="4" w:space="0"/>
              <w:right w:val="single" w:color="auto" w:sz="4" w:space="0"/>
            </w:tcBorders>
            <w:noWrap w:val="0"/>
            <w:vAlign w:val="center"/>
          </w:tcPr>
          <w:p w14:paraId="56CC7CEF">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岳阳市中心血站</w:t>
            </w:r>
            <w:r>
              <w:rPr>
                <w:rFonts w:hint="eastAsia" w:ascii="仿宋_GB2312" w:hAnsi="仿宋_GB2312" w:eastAsia="仿宋_GB2312" w:cs="仿宋_GB2312"/>
                <w:color w:val="000000"/>
                <w:sz w:val="20"/>
                <w:szCs w:val="20"/>
                <w:highlight w:val="none"/>
              </w:rPr>
              <w:t>　</w:t>
            </w:r>
          </w:p>
        </w:tc>
      </w:tr>
      <w:tr w14:paraId="0F68D1A9">
        <w:tblPrEx>
          <w:tblCellMar>
            <w:top w:w="0" w:type="dxa"/>
            <w:left w:w="108" w:type="dxa"/>
            <w:bottom w:w="0" w:type="dxa"/>
            <w:right w:w="108" w:type="dxa"/>
          </w:tblCellMar>
        </w:tblPrEx>
        <w:trPr>
          <w:jc w:val="center"/>
        </w:trPr>
        <w:tc>
          <w:tcPr>
            <w:tcW w:w="1080" w:type="dxa"/>
            <w:vMerge w:val="restart"/>
            <w:tcBorders>
              <w:top w:val="nil"/>
              <w:left w:val="single" w:color="auto" w:sz="4" w:space="0"/>
              <w:right w:val="single" w:color="auto" w:sz="4" w:space="0"/>
            </w:tcBorders>
            <w:noWrap w:val="0"/>
            <w:vAlign w:val="center"/>
          </w:tcPr>
          <w:p w14:paraId="1788653C">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年度预</w:t>
            </w:r>
          </w:p>
          <w:p w14:paraId="4C51555C">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算申请</w:t>
            </w:r>
            <w:r>
              <w:rPr>
                <w:rFonts w:hint="eastAsia" w:ascii="仿宋_GB2312" w:hAnsi="仿宋_GB2312" w:eastAsia="仿宋_GB2312" w:cs="仿宋_GB2312"/>
                <w:color w:val="000000"/>
                <w:sz w:val="20"/>
                <w:szCs w:val="20"/>
                <w:highlight w:val="none"/>
              </w:rPr>
              <w:br w:type="textWrapping"/>
            </w:r>
            <w:r>
              <w:rPr>
                <w:rFonts w:hint="eastAsia" w:ascii="仿宋_GB2312" w:hAnsi="仿宋_GB2312" w:eastAsia="仿宋_GB2312" w:cs="仿宋_GB2312"/>
                <w:color w:val="000000"/>
                <w:sz w:val="20"/>
                <w:szCs w:val="20"/>
                <w:highlight w:val="none"/>
              </w:rPr>
              <w:t>（万元）</w:t>
            </w:r>
          </w:p>
        </w:tc>
        <w:tc>
          <w:tcPr>
            <w:tcW w:w="2114" w:type="dxa"/>
            <w:gridSpan w:val="2"/>
            <w:tcBorders>
              <w:top w:val="nil"/>
              <w:left w:val="nil"/>
              <w:bottom w:val="single" w:color="auto" w:sz="4" w:space="0"/>
              <w:right w:val="single" w:color="auto" w:sz="4" w:space="0"/>
            </w:tcBorders>
            <w:noWrap w:val="0"/>
            <w:vAlign w:val="center"/>
          </w:tcPr>
          <w:p w14:paraId="6FEAE9C2">
            <w:pPr>
              <w:spacing w:line="240" w:lineRule="exact"/>
              <w:jc w:val="center"/>
              <w:rPr>
                <w:rFonts w:hint="eastAsia" w:ascii="仿宋_GB2312" w:hAnsi="仿宋_GB2312" w:eastAsia="仿宋_GB2312" w:cs="仿宋_GB2312"/>
                <w:sz w:val="20"/>
                <w:szCs w:val="20"/>
                <w:highlight w:val="none"/>
              </w:rPr>
            </w:pPr>
          </w:p>
        </w:tc>
        <w:tc>
          <w:tcPr>
            <w:tcW w:w="1270" w:type="dxa"/>
            <w:tcBorders>
              <w:top w:val="nil"/>
              <w:left w:val="nil"/>
              <w:bottom w:val="single" w:color="auto" w:sz="4" w:space="0"/>
              <w:right w:val="single" w:color="auto" w:sz="4" w:space="0"/>
            </w:tcBorders>
            <w:noWrap w:val="0"/>
            <w:vAlign w:val="center"/>
          </w:tcPr>
          <w:p w14:paraId="5CF65ED3">
            <w:pPr>
              <w:spacing w:line="240" w:lineRule="exact"/>
              <w:jc w:val="center"/>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年初预算数</w:t>
            </w:r>
          </w:p>
        </w:tc>
        <w:tc>
          <w:tcPr>
            <w:tcW w:w="1311" w:type="dxa"/>
            <w:tcBorders>
              <w:top w:val="nil"/>
              <w:left w:val="nil"/>
              <w:bottom w:val="single" w:color="auto" w:sz="4" w:space="0"/>
              <w:right w:val="single" w:color="auto" w:sz="4" w:space="0"/>
            </w:tcBorders>
            <w:noWrap w:val="0"/>
            <w:vAlign w:val="center"/>
          </w:tcPr>
          <w:p w14:paraId="34E7B6D9">
            <w:pPr>
              <w:spacing w:line="240" w:lineRule="exact"/>
              <w:jc w:val="center"/>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全年预算数</w:t>
            </w:r>
          </w:p>
        </w:tc>
        <w:tc>
          <w:tcPr>
            <w:tcW w:w="1269" w:type="dxa"/>
            <w:tcBorders>
              <w:top w:val="nil"/>
              <w:left w:val="nil"/>
              <w:bottom w:val="single" w:color="auto" w:sz="4" w:space="0"/>
              <w:right w:val="single" w:color="auto" w:sz="4" w:space="0"/>
            </w:tcBorders>
            <w:noWrap w:val="0"/>
            <w:vAlign w:val="center"/>
          </w:tcPr>
          <w:p w14:paraId="15727B39">
            <w:pPr>
              <w:spacing w:line="240" w:lineRule="exact"/>
              <w:jc w:val="center"/>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全年执行数</w:t>
            </w:r>
          </w:p>
        </w:tc>
        <w:tc>
          <w:tcPr>
            <w:tcW w:w="716" w:type="dxa"/>
            <w:tcBorders>
              <w:top w:val="nil"/>
              <w:left w:val="nil"/>
              <w:bottom w:val="single" w:color="auto" w:sz="4" w:space="0"/>
              <w:right w:val="single" w:color="auto" w:sz="4" w:space="0"/>
            </w:tcBorders>
            <w:noWrap w:val="0"/>
            <w:vAlign w:val="center"/>
          </w:tcPr>
          <w:p w14:paraId="39D216E5">
            <w:pPr>
              <w:spacing w:line="240" w:lineRule="exact"/>
              <w:jc w:val="center"/>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分值</w:t>
            </w:r>
          </w:p>
        </w:tc>
        <w:tc>
          <w:tcPr>
            <w:tcW w:w="873" w:type="dxa"/>
            <w:tcBorders>
              <w:top w:val="nil"/>
              <w:left w:val="nil"/>
              <w:bottom w:val="single" w:color="auto" w:sz="4" w:space="0"/>
              <w:right w:val="single" w:color="auto" w:sz="4" w:space="0"/>
            </w:tcBorders>
            <w:noWrap w:val="0"/>
            <w:vAlign w:val="center"/>
          </w:tcPr>
          <w:p w14:paraId="4F2ED33F">
            <w:pPr>
              <w:spacing w:line="240" w:lineRule="exact"/>
              <w:jc w:val="center"/>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执行率</w:t>
            </w:r>
          </w:p>
        </w:tc>
        <w:tc>
          <w:tcPr>
            <w:tcW w:w="1446" w:type="dxa"/>
            <w:tcBorders>
              <w:top w:val="nil"/>
              <w:left w:val="nil"/>
              <w:bottom w:val="single" w:color="auto" w:sz="4" w:space="0"/>
              <w:right w:val="single" w:color="auto" w:sz="4" w:space="0"/>
            </w:tcBorders>
            <w:noWrap w:val="0"/>
            <w:vAlign w:val="center"/>
          </w:tcPr>
          <w:p w14:paraId="2CBA8DBF">
            <w:pPr>
              <w:spacing w:line="240" w:lineRule="exact"/>
              <w:jc w:val="center"/>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得分</w:t>
            </w:r>
          </w:p>
        </w:tc>
      </w:tr>
      <w:tr w14:paraId="096B0A07">
        <w:tblPrEx>
          <w:tblCellMar>
            <w:top w:w="0" w:type="dxa"/>
            <w:left w:w="108" w:type="dxa"/>
            <w:bottom w:w="0" w:type="dxa"/>
            <w:right w:w="108" w:type="dxa"/>
          </w:tblCellMar>
        </w:tblPrEx>
        <w:trPr>
          <w:jc w:val="center"/>
        </w:trPr>
        <w:tc>
          <w:tcPr>
            <w:tcW w:w="1080" w:type="dxa"/>
            <w:vMerge w:val="continue"/>
            <w:tcBorders>
              <w:top w:val="nil"/>
              <w:left w:val="single" w:color="auto" w:sz="4" w:space="0"/>
              <w:right w:val="single" w:color="auto" w:sz="4" w:space="0"/>
            </w:tcBorders>
            <w:noWrap w:val="0"/>
            <w:vAlign w:val="center"/>
          </w:tcPr>
          <w:p w14:paraId="667C97FC">
            <w:pPr>
              <w:widowControl/>
              <w:spacing w:line="240" w:lineRule="exact"/>
              <w:jc w:val="center"/>
              <w:rPr>
                <w:rFonts w:hint="eastAsia" w:ascii="仿宋_GB2312" w:hAnsi="仿宋_GB2312" w:eastAsia="仿宋_GB2312" w:cs="仿宋_GB2312"/>
                <w:color w:val="000000"/>
                <w:sz w:val="20"/>
                <w:szCs w:val="20"/>
                <w:highlight w:val="none"/>
              </w:rPr>
            </w:pPr>
          </w:p>
        </w:tc>
        <w:tc>
          <w:tcPr>
            <w:tcW w:w="2114" w:type="dxa"/>
            <w:gridSpan w:val="2"/>
            <w:tcBorders>
              <w:top w:val="nil"/>
              <w:left w:val="nil"/>
              <w:bottom w:val="single" w:color="auto" w:sz="4" w:space="0"/>
              <w:right w:val="single" w:color="auto" w:sz="4" w:space="0"/>
            </w:tcBorders>
            <w:noWrap w:val="0"/>
            <w:vAlign w:val="center"/>
          </w:tcPr>
          <w:p w14:paraId="6C838AF2">
            <w:pPr>
              <w:spacing w:line="240" w:lineRule="exact"/>
              <w:jc w:val="center"/>
              <w:rPr>
                <w:rFonts w:hint="eastAsia" w:ascii="仿宋_GB2312" w:hAnsi="仿宋_GB2312" w:eastAsia="仿宋_GB2312" w:cs="仿宋_GB2312"/>
                <w:sz w:val="20"/>
                <w:szCs w:val="20"/>
                <w:highlight w:val="none"/>
              </w:rPr>
            </w:pPr>
            <w:r>
              <w:rPr>
                <w:rFonts w:hint="eastAsia" w:ascii="仿宋_GB2312" w:hAnsi="仿宋_GB2312" w:eastAsia="仿宋_GB2312" w:cs="仿宋_GB2312"/>
                <w:color w:val="000000"/>
                <w:sz w:val="20"/>
                <w:szCs w:val="20"/>
                <w:highlight w:val="none"/>
              </w:rPr>
              <w:t>年度资金总额</w:t>
            </w:r>
          </w:p>
        </w:tc>
        <w:tc>
          <w:tcPr>
            <w:tcW w:w="1270" w:type="dxa"/>
            <w:tcBorders>
              <w:top w:val="nil"/>
              <w:left w:val="nil"/>
              <w:bottom w:val="single" w:color="auto" w:sz="4" w:space="0"/>
              <w:right w:val="single" w:color="auto" w:sz="4" w:space="0"/>
            </w:tcBorders>
            <w:noWrap w:val="0"/>
            <w:vAlign w:val="center"/>
          </w:tcPr>
          <w:p w14:paraId="7C95C350">
            <w:pPr>
              <w:spacing w:line="240" w:lineRule="exact"/>
              <w:jc w:val="center"/>
              <w:rPr>
                <w:rFonts w:hint="default"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8600</w:t>
            </w:r>
          </w:p>
        </w:tc>
        <w:tc>
          <w:tcPr>
            <w:tcW w:w="1311" w:type="dxa"/>
            <w:tcBorders>
              <w:top w:val="nil"/>
              <w:left w:val="nil"/>
              <w:bottom w:val="single" w:color="auto" w:sz="4" w:space="0"/>
              <w:right w:val="single" w:color="auto" w:sz="4" w:space="0"/>
            </w:tcBorders>
            <w:noWrap w:val="0"/>
            <w:vAlign w:val="center"/>
          </w:tcPr>
          <w:p w14:paraId="7CA6B85E">
            <w:pPr>
              <w:spacing w:line="240" w:lineRule="exact"/>
              <w:jc w:val="center"/>
              <w:rPr>
                <w:rFonts w:hint="default"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8427.2</w:t>
            </w:r>
          </w:p>
        </w:tc>
        <w:tc>
          <w:tcPr>
            <w:tcW w:w="1269" w:type="dxa"/>
            <w:tcBorders>
              <w:top w:val="nil"/>
              <w:left w:val="nil"/>
              <w:bottom w:val="single" w:color="auto" w:sz="4" w:space="0"/>
              <w:right w:val="single" w:color="auto" w:sz="4" w:space="0"/>
            </w:tcBorders>
            <w:noWrap w:val="0"/>
            <w:vAlign w:val="center"/>
          </w:tcPr>
          <w:p w14:paraId="747E0C23">
            <w:pPr>
              <w:spacing w:line="240" w:lineRule="exact"/>
              <w:jc w:val="center"/>
              <w:rPr>
                <w:rFonts w:hint="default"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8366.78</w:t>
            </w:r>
          </w:p>
        </w:tc>
        <w:tc>
          <w:tcPr>
            <w:tcW w:w="716" w:type="dxa"/>
            <w:tcBorders>
              <w:top w:val="nil"/>
              <w:left w:val="nil"/>
              <w:bottom w:val="single" w:color="auto" w:sz="4" w:space="0"/>
              <w:right w:val="single" w:color="auto" w:sz="4" w:space="0"/>
            </w:tcBorders>
            <w:noWrap w:val="0"/>
            <w:vAlign w:val="center"/>
          </w:tcPr>
          <w:p w14:paraId="2D25A31F">
            <w:pPr>
              <w:spacing w:line="240" w:lineRule="exact"/>
              <w:jc w:val="center"/>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10</w:t>
            </w:r>
          </w:p>
        </w:tc>
        <w:tc>
          <w:tcPr>
            <w:tcW w:w="873" w:type="dxa"/>
            <w:tcBorders>
              <w:top w:val="nil"/>
              <w:left w:val="nil"/>
              <w:bottom w:val="single" w:color="auto" w:sz="4" w:space="0"/>
              <w:right w:val="single" w:color="auto" w:sz="4" w:space="0"/>
            </w:tcBorders>
            <w:noWrap w:val="0"/>
            <w:vAlign w:val="center"/>
          </w:tcPr>
          <w:p w14:paraId="64D19728">
            <w:pPr>
              <w:spacing w:line="240" w:lineRule="exact"/>
              <w:jc w:val="center"/>
              <w:rPr>
                <w:rFonts w:hint="default"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99.28%</w:t>
            </w:r>
          </w:p>
        </w:tc>
        <w:tc>
          <w:tcPr>
            <w:tcW w:w="1446" w:type="dxa"/>
            <w:tcBorders>
              <w:top w:val="nil"/>
              <w:left w:val="nil"/>
              <w:bottom w:val="single" w:color="auto" w:sz="4" w:space="0"/>
              <w:right w:val="single" w:color="auto" w:sz="4" w:space="0"/>
            </w:tcBorders>
            <w:noWrap w:val="0"/>
            <w:vAlign w:val="center"/>
          </w:tcPr>
          <w:p w14:paraId="6669017D">
            <w:pPr>
              <w:spacing w:line="240" w:lineRule="exact"/>
              <w:jc w:val="center"/>
              <w:rPr>
                <w:rFonts w:hint="default"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9.93</w:t>
            </w:r>
          </w:p>
        </w:tc>
      </w:tr>
      <w:tr w14:paraId="1F70E74A">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14:paraId="145B2F69">
            <w:pPr>
              <w:widowControl/>
              <w:spacing w:line="240" w:lineRule="exact"/>
              <w:jc w:val="left"/>
              <w:rPr>
                <w:rFonts w:hint="eastAsia" w:ascii="仿宋_GB2312" w:hAnsi="仿宋_GB2312" w:eastAsia="仿宋_GB2312" w:cs="仿宋_GB2312"/>
                <w:color w:val="000000"/>
                <w:sz w:val="20"/>
                <w:szCs w:val="20"/>
                <w:highlight w:val="none"/>
              </w:rPr>
            </w:pPr>
          </w:p>
        </w:tc>
        <w:tc>
          <w:tcPr>
            <w:tcW w:w="4695" w:type="dxa"/>
            <w:gridSpan w:val="4"/>
            <w:tcBorders>
              <w:top w:val="nil"/>
              <w:left w:val="nil"/>
              <w:bottom w:val="single" w:color="auto" w:sz="4" w:space="0"/>
              <w:right w:val="single" w:color="auto" w:sz="4" w:space="0"/>
            </w:tcBorders>
            <w:noWrap w:val="0"/>
            <w:vAlign w:val="center"/>
          </w:tcPr>
          <w:p w14:paraId="7C1903EF">
            <w:pPr>
              <w:widowControl/>
              <w:spacing w:line="240" w:lineRule="exact"/>
              <w:jc w:val="left"/>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按收入性质分：</w:t>
            </w:r>
          </w:p>
        </w:tc>
        <w:tc>
          <w:tcPr>
            <w:tcW w:w="4304" w:type="dxa"/>
            <w:gridSpan w:val="4"/>
            <w:tcBorders>
              <w:top w:val="nil"/>
              <w:left w:val="nil"/>
              <w:bottom w:val="single" w:color="auto" w:sz="4" w:space="0"/>
              <w:right w:val="single" w:color="auto" w:sz="4" w:space="0"/>
            </w:tcBorders>
            <w:noWrap w:val="0"/>
            <w:vAlign w:val="center"/>
          </w:tcPr>
          <w:p w14:paraId="3CBE7F07">
            <w:pPr>
              <w:widowControl/>
              <w:spacing w:line="240" w:lineRule="exact"/>
              <w:jc w:val="left"/>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按支出性质分：</w:t>
            </w:r>
          </w:p>
        </w:tc>
      </w:tr>
      <w:tr w14:paraId="78A658E9">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14:paraId="2F346FD4">
            <w:pPr>
              <w:widowControl/>
              <w:spacing w:line="240" w:lineRule="exact"/>
              <w:jc w:val="left"/>
              <w:rPr>
                <w:rFonts w:hint="eastAsia" w:ascii="仿宋_GB2312" w:hAnsi="仿宋_GB2312" w:eastAsia="仿宋_GB2312" w:cs="仿宋_GB2312"/>
                <w:color w:val="000000"/>
                <w:sz w:val="20"/>
                <w:szCs w:val="20"/>
                <w:highlight w:val="none"/>
              </w:rPr>
            </w:pPr>
          </w:p>
        </w:tc>
        <w:tc>
          <w:tcPr>
            <w:tcW w:w="4695" w:type="dxa"/>
            <w:gridSpan w:val="4"/>
            <w:tcBorders>
              <w:top w:val="nil"/>
              <w:left w:val="nil"/>
              <w:bottom w:val="single" w:color="auto" w:sz="4" w:space="0"/>
              <w:right w:val="single" w:color="auto" w:sz="4" w:space="0"/>
            </w:tcBorders>
            <w:noWrap w:val="0"/>
            <w:vAlign w:val="center"/>
          </w:tcPr>
          <w:p w14:paraId="6CEE9B70">
            <w:pPr>
              <w:widowControl/>
              <w:spacing w:line="240" w:lineRule="exact"/>
              <w:jc w:val="left"/>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 xml:space="preserve">  其中：  一般公共预算：</w:t>
            </w:r>
            <w:r>
              <w:rPr>
                <w:rFonts w:hint="eastAsia" w:ascii="仿宋_GB2312" w:hAnsi="仿宋_GB2312" w:eastAsia="仿宋_GB2312" w:cs="仿宋_GB2312"/>
                <w:color w:val="000000"/>
                <w:sz w:val="20"/>
                <w:szCs w:val="20"/>
                <w:highlight w:val="none"/>
                <w:lang w:val="en-US" w:eastAsia="zh-CN"/>
              </w:rPr>
              <w:t>8600</w:t>
            </w:r>
          </w:p>
        </w:tc>
        <w:tc>
          <w:tcPr>
            <w:tcW w:w="4304" w:type="dxa"/>
            <w:gridSpan w:val="4"/>
            <w:tcBorders>
              <w:top w:val="nil"/>
              <w:left w:val="nil"/>
              <w:bottom w:val="single" w:color="auto" w:sz="4" w:space="0"/>
              <w:right w:val="single" w:color="auto" w:sz="4" w:space="0"/>
            </w:tcBorders>
            <w:noWrap w:val="0"/>
            <w:vAlign w:val="center"/>
          </w:tcPr>
          <w:p w14:paraId="56FF2C47">
            <w:pPr>
              <w:widowControl/>
              <w:spacing w:line="240" w:lineRule="exact"/>
              <w:jc w:val="left"/>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其中：基本支出：</w:t>
            </w:r>
            <w:r>
              <w:rPr>
                <w:rFonts w:hint="eastAsia" w:ascii="仿宋_GB2312" w:hAnsi="仿宋_GB2312" w:eastAsia="仿宋_GB2312" w:cs="仿宋_GB2312"/>
                <w:color w:val="000000"/>
                <w:sz w:val="20"/>
                <w:szCs w:val="20"/>
                <w:highlight w:val="none"/>
                <w:lang w:val="en-US" w:eastAsia="zh-CN"/>
              </w:rPr>
              <w:t>8100.94</w:t>
            </w:r>
          </w:p>
        </w:tc>
      </w:tr>
      <w:tr w14:paraId="78FFFD27">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14:paraId="6643A326">
            <w:pPr>
              <w:widowControl/>
              <w:spacing w:line="240" w:lineRule="exact"/>
              <w:jc w:val="left"/>
              <w:rPr>
                <w:rFonts w:hint="eastAsia" w:ascii="仿宋_GB2312" w:hAnsi="仿宋_GB2312" w:eastAsia="仿宋_GB2312" w:cs="仿宋_GB2312"/>
                <w:color w:val="000000"/>
                <w:sz w:val="20"/>
                <w:szCs w:val="20"/>
                <w:highlight w:val="none"/>
              </w:rPr>
            </w:pPr>
          </w:p>
        </w:tc>
        <w:tc>
          <w:tcPr>
            <w:tcW w:w="4695" w:type="dxa"/>
            <w:gridSpan w:val="4"/>
            <w:tcBorders>
              <w:top w:val="nil"/>
              <w:left w:val="nil"/>
              <w:bottom w:val="single" w:color="auto" w:sz="4" w:space="0"/>
              <w:right w:val="single" w:color="auto" w:sz="4" w:space="0"/>
            </w:tcBorders>
            <w:noWrap w:val="0"/>
            <w:vAlign w:val="center"/>
          </w:tcPr>
          <w:p w14:paraId="100B160A">
            <w:pPr>
              <w:widowControl/>
              <w:spacing w:line="240" w:lineRule="exact"/>
              <w:ind w:firstLine="800" w:firstLineChars="400"/>
              <w:jc w:val="left"/>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政府性基金拨款：</w:t>
            </w:r>
          </w:p>
        </w:tc>
        <w:tc>
          <w:tcPr>
            <w:tcW w:w="4304" w:type="dxa"/>
            <w:gridSpan w:val="4"/>
            <w:tcBorders>
              <w:top w:val="nil"/>
              <w:left w:val="nil"/>
              <w:bottom w:val="single" w:color="auto" w:sz="4" w:space="0"/>
              <w:right w:val="single" w:color="auto" w:sz="4" w:space="0"/>
            </w:tcBorders>
            <w:noWrap w:val="0"/>
            <w:vAlign w:val="center"/>
          </w:tcPr>
          <w:p w14:paraId="1CF29FDC">
            <w:pPr>
              <w:widowControl/>
              <w:spacing w:line="240" w:lineRule="exact"/>
              <w:ind w:firstLine="600" w:firstLineChars="300"/>
              <w:jc w:val="left"/>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项目支出：</w:t>
            </w:r>
            <w:r>
              <w:rPr>
                <w:rFonts w:hint="eastAsia" w:ascii="仿宋_GB2312" w:hAnsi="仿宋_GB2312" w:eastAsia="仿宋_GB2312" w:cs="仿宋_GB2312"/>
                <w:color w:val="000000"/>
                <w:sz w:val="20"/>
                <w:szCs w:val="20"/>
                <w:highlight w:val="none"/>
                <w:lang w:val="en-US" w:eastAsia="zh-CN"/>
              </w:rPr>
              <w:t>265.84</w:t>
            </w:r>
          </w:p>
        </w:tc>
      </w:tr>
      <w:tr w14:paraId="3DA980B3">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14:paraId="317AF6CC">
            <w:pPr>
              <w:widowControl/>
              <w:spacing w:line="240" w:lineRule="exact"/>
              <w:jc w:val="left"/>
              <w:rPr>
                <w:rFonts w:hint="eastAsia" w:ascii="仿宋_GB2312" w:hAnsi="仿宋_GB2312" w:eastAsia="仿宋_GB2312" w:cs="仿宋_GB2312"/>
                <w:color w:val="000000"/>
                <w:sz w:val="20"/>
                <w:szCs w:val="20"/>
                <w:highlight w:val="none"/>
              </w:rPr>
            </w:pPr>
          </w:p>
        </w:tc>
        <w:tc>
          <w:tcPr>
            <w:tcW w:w="4695" w:type="dxa"/>
            <w:gridSpan w:val="4"/>
            <w:tcBorders>
              <w:top w:val="nil"/>
              <w:left w:val="nil"/>
              <w:bottom w:val="single" w:color="auto" w:sz="4" w:space="0"/>
              <w:right w:val="single" w:color="auto" w:sz="4" w:space="0"/>
            </w:tcBorders>
            <w:noWrap w:val="0"/>
            <w:vAlign w:val="center"/>
          </w:tcPr>
          <w:p w14:paraId="7CDC9BC2">
            <w:pPr>
              <w:widowControl/>
              <w:spacing w:line="240" w:lineRule="exact"/>
              <w:jc w:val="left"/>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纳入专户管理的非税收入拨款：</w:t>
            </w:r>
          </w:p>
        </w:tc>
        <w:tc>
          <w:tcPr>
            <w:tcW w:w="4304" w:type="dxa"/>
            <w:gridSpan w:val="4"/>
            <w:tcBorders>
              <w:top w:val="nil"/>
              <w:left w:val="nil"/>
              <w:bottom w:val="single" w:color="auto" w:sz="4" w:space="0"/>
              <w:right w:val="single" w:color="auto" w:sz="4" w:space="0"/>
            </w:tcBorders>
            <w:noWrap w:val="0"/>
            <w:vAlign w:val="center"/>
          </w:tcPr>
          <w:p w14:paraId="3957C8F1">
            <w:pPr>
              <w:widowControl/>
              <w:spacing w:line="240" w:lineRule="exact"/>
              <w:jc w:val="left"/>
              <w:rPr>
                <w:rFonts w:hint="eastAsia" w:ascii="仿宋_GB2312" w:hAnsi="仿宋_GB2312" w:eastAsia="仿宋_GB2312" w:cs="仿宋_GB2312"/>
                <w:color w:val="000000"/>
                <w:sz w:val="20"/>
                <w:szCs w:val="20"/>
                <w:highlight w:val="none"/>
              </w:rPr>
            </w:pPr>
          </w:p>
        </w:tc>
      </w:tr>
      <w:tr w14:paraId="2F60289C">
        <w:tblPrEx>
          <w:tblCellMar>
            <w:top w:w="0" w:type="dxa"/>
            <w:left w:w="108" w:type="dxa"/>
            <w:bottom w:w="0" w:type="dxa"/>
            <w:right w:w="108" w:type="dxa"/>
          </w:tblCellMar>
        </w:tblPrEx>
        <w:trPr>
          <w:jc w:val="center"/>
        </w:trPr>
        <w:tc>
          <w:tcPr>
            <w:tcW w:w="1080" w:type="dxa"/>
            <w:vMerge w:val="continue"/>
            <w:tcBorders>
              <w:left w:val="single" w:color="auto" w:sz="4" w:space="0"/>
              <w:bottom w:val="single" w:color="000000" w:sz="4" w:space="0"/>
              <w:right w:val="single" w:color="auto" w:sz="4" w:space="0"/>
            </w:tcBorders>
            <w:noWrap w:val="0"/>
            <w:vAlign w:val="center"/>
          </w:tcPr>
          <w:p w14:paraId="4FA3516E">
            <w:pPr>
              <w:widowControl/>
              <w:spacing w:line="240" w:lineRule="exact"/>
              <w:jc w:val="left"/>
              <w:rPr>
                <w:rFonts w:hint="eastAsia" w:ascii="仿宋_GB2312" w:hAnsi="仿宋_GB2312" w:eastAsia="仿宋_GB2312" w:cs="仿宋_GB2312"/>
                <w:color w:val="000000"/>
                <w:sz w:val="20"/>
                <w:szCs w:val="20"/>
                <w:highlight w:val="none"/>
              </w:rPr>
            </w:pPr>
          </w:p>
        </w:tc>
        <w:tc>
          <w:tcPr>
            <w:tcW w:w="4695" w:type="dxa"/>
            <w:gridSpan w:val="4"/>
            <w:tcBorders>
              <w:top w:val="nil"/>
              <w:left w:val="nil"/>
              <w:bottom w:val="single" w:color="auto" w:sz="4" w:space="0"/>
              <w:right w:val="single" w:color="auto" w:sz="4" w:space="0"/>
            </w:tcBorders>
            <w:noWrap w:val="0"/>
            <w:vAlign w:val="center"/>
          </w:tcPr>
          <w:p w14:paraId="2C31737F">
            <w:pPr>
              <w:widowControl/>
              <w:spacing w:line="240" w:lineRule="exact"/>
              <w:ind w:firstLine="1400" w:firstLineChars="700"/>
              <w:jc w:val="left"/>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其他资金：</w:t>
            </w:r>
          </w:p>
        </w:tc>
        <w:tc>
          <w:tcPr>
            <w:tcW w:w="4304" w:type="dxa"/>
            <w:gridSpan w:val="4"/>
            <w:tcBorders>
              <w:top w:val="nil"/>
              <w:left w:val="nil"/>
              <w:bottom w:val="single" w:color="auto" w:sz="4" w:space="0"/>
              <w:right w:val="single" w:color="auto" w:sz="4" w:space="0"/>
            </w:tcBorders>
            <w:noWrap w:val="0"/>
            <w:vAlign w:val="center"/>
          </w:tcPr>
          <w:p w14:paraId="3328D3FE">
            <w:pPr>
              <w:widowControl/>
              <w:spacing w:line="240" w:lineRule="exact"/>
              <w:jc w:val="left"/>
              <w:rPr>
                <w:rFonts w:hint="eastAsia" w:ascii="仿宋_GB2312" w:hAnsi="仿宋_GB2312" w:eastAsia="仿宋_GB2312" w:cs="仿宋_GB2312"/>
                <w:color w:val="000000"/>
                <w:sz w:val="20"/>
                <w:szCs w:val="20"/>
                <w:highlight w:val="none"/>
              </w:rPr>
            </w:pPr>
          </w:p>
        </w:tc>
      </w:tr>
      <w:tr w14:paraId="698C0CF6">
        <w:tblPrEx>
          <w:tblCellMar>
            <w:top w:w="0" w:type="dxa"/>
            <w:left w:w="108" w:type="dxa"/>
            <w:bottom w:w="0" w:type="dxa"/>
            <w:right w:w="108" w:type="dxa"/>
          </w:tblCellMar>
        </w:tblPrEx>
        <w:trPr>
          <w:jc w:val="center"/>
        </w:trPr>
        <w:tc>
          <w:tcPr>
            <w:tcW w:w="1080" w:type="dxa"/>
            <w:vMerge w:val="restart"/>
            <w:tcBorders>
              <w:top w:val="nil"/>
              <w:left w:val="single" w:color="auto" w:sz="4" w:space="0"/>
              <w:bottom w:val="single" w:color="000000" w:sz="4" w:space="0"/>
              <w:right w:val="single" w:color="auto" w:sz="4" w:space="0"/>
            </w:tcBorders>
            <w:noWrap w:val="0"/>
            <w:vAlign w:val="center"/>
          </w:tcPr>
          <w:p w14:paraId="714589C2">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年度总体目标</w:t>
            </w:r>
          </w:p>
        </w:tc>
        <w:tc>
          <w:tcPr>
            <w:tcW w:w="4695" w:type="dxa"/>
            <w:gridSpan w:val="4"/>
            <w:tcBorders>
              <w:top w:val="single" w:color="auto" w:sz="4" w:space="0"/>
              <w:left w:val="nil"/>
              <w:bottom w:val="single" w:color="auto" w:sz="4" w:space="0"/>
              <w:right w:val="single" w:color="000000" w:sz="4" w:space="0"/>
            </w:tcBorders>
            <w:noWrap w:val="0"/>
            <w:vAlign w:val="center"/>
          </w:tcPr>
          <w:p w14:paraId="12D5559D">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预期目标</w:t>
            </w:r>
          </w:p>
        </w:tc>
        <w:tc>
          <w:tcPr>
            <w:tcW w:w="4304" w:type="dxa"/>
            <w:gridSpan w:val="4"/>
            <w:tcBorders>
              <w:top w:val="single" w:color="auto" w:sz="4" w:space="0"/>
              <w:left w:val="nil"/>
              <w:bottom w:val="single" w:color="auto" w:sz="4" w:space="0"/>
              <w:right w:val="single" w:color="auto" w:sz="4" w:space="0"/>
            </w:tcBorders>
            <w:noWrap w:val="0"/>
            <w:vAlign w:val="center"/>
          </w:tcPr>
          <w:p w14:paraId="63C7F1B6">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实际完成情况　</w:t>
            </w:r>
          </w:p>
        </w:tc>
      </w:tr>
      <w:tr w14:paraId="71BD323E">
        <w:tblPrEx>
          <w:tblCellMar>
            <w:top w:w="0" w:type="dxa"/>
            <w:left w:w="108" w:type="dxa"/>
            <w:bottom w:w="0" w:type="dxa"/>
            <w:right w:w="108" w:type="dxa"/>
          </w:tblCellMar>
        </w:tblPrEx>
        <w:trPr>
          <w:jc w:val="center"/>
        </w:trPr>
        <w:tc>
          <w:tcPr>
            <w:tcW w:w="1080" w:type="dxa"/>
            <w:vMerge w:val="continue"/>
            <w:tcBorders>
              <w:top w:val="nil"/>
              <w:left w:val="single" w:color="auto" w:sz="4" w:space="0"/>
              <w:bottom w:val="single" w:color="000000" w:sz="4" w:space="0"/>
              <w:right w:val="single" w:color="auto" w:sz="4" w:space="0"/>
            </w:tcBorders>
            <w:noWrap w:val="0"/>
            <w:vAlign w:val="center"/>
          </w:tcPr>
          <w:p w14:paraId="0DF65E4B">
            <w:pPr>
              <w:widowControl/>
              <w:spacing w:line="240" w:lineRule="exact"/>
              <w:jc w:val="left"/>
              <w:rPr>
                <w:rFonts w:hint="eastAsia" w:ascii="仿宋_GB2312" w:hAnsi="仿宋_GB2312" w:eastAsia="仿宋_GB2312" w:cs="仿宋_GB2312"/>
                <w:color w:val="000000"/>
                <w:sz w:val="20"/>
                <w:szCs w:val="20"/>
                <w:highlight w:val="none"/>
              </w:rPr>
            </w:pPr>
          </w:p>
        </w:tc>
        <w:tc>
          <w:tcPr>
            <w:tcW w:w="4695" w:type="dxa"/>
            <w:gridSpan w:val="4"/>
            <w:tcBorders>
              <w:top w:val="single" w:color="auto" w:sz="4" w:space="0"/>
              <w:left w:val="nil"/>
              <w:bottom w:val="single" w:color="auto" w:sz="4" w:space="0"/>
              <w:right w:val="single" w:color="000000" w:sz="4" w:space="0"/>
            </w:tcBorders>
            <w:noWrap w:val="0"/>
            <w:vAlign w:val="center"/>
          </w:tcPr>
          <w:p w14:paraId="3EF0B386">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auto"/>
                <w:sz w:val="20"/>
                <w:szCs w:val="20"/>
                <w:lang w:val="en-US" w:eastAsia="zh-CN"/>
              </w:rPr>
              <w:t>扼制艾滋病经血液传播，保障临床输血安全。</w:t>
            </w:r>
            <w:r>
              <w:rPr>
                <w:rFonts w:hint="eastAsia" w:ascii="仿宋_GB2312" w:hAnsi="仿宋_GB2312" w:eastAsia="仿宋_GB2312" w:cs="仿宋_GB2312"/>
                <w:color w:val="000000"/>
                <w:sz w:val="20"/>
                <w:szCs w:val="20"/>
                <w:highlight w:val="none"/>
              </w:rPr>
              <w:t>　　</w:t>
            </w:r>
          </w:p>
        </w:tc>
        <w:tc>
          <w:tcPr>
            <w:tcW w:w="4304" w:type="dxa"/>
            <w:gridSpan w:val="4"/>
            <w:tcBorders>
              <w:top w:val="single" w:color="auto" w:sz="4" w:space="0"/>
              <w:left w:val="nil"/>
              <w:bottom w:val="single" w:color="auto" w:sz="4" w:space="0"/>
              <w:right w:val="single" w:color="auto" w:sz="4" w:space="0"/>
            </w:tcBorders>
            <w:noWrap w:val="0"/>
            <w:vAlign w:val="center"/>
          </w:tcPr>
          <w:p w14:paraId="1D3D16BE">
            <w:pPr>
              <w:widowControl/>
              <w:spacing w:line="240" w:lineRule="exact"/>
              <w:jc w:val="left"/>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r>
              <w:rPr>
                <w:rFonts w:hint="eastAsia" w:ascii="仿宋_GB2312" w:hAnsi="仿宋_GB2312" w:eastAsia="仿宋_GB2312" w:cs="仿宋_GB2312"/>
                <w:color w:val="auto"/>
                <w:sz w:val="20"/>
                <w:szCs w:val="20"/>
                <w:lang w:val="en-US" w:eastAsia="zh-CN"/>
              </w:rPr>
              <w:t>2024年血液核酸检测57842人份，保障了临床输血安全。</w:t>
            </w:r>
          </w:p>
        </w:tc>
      </w:tr>
      <w:tr w14:paraId="10D6A884">
        <w:tblPrEx>
          <w:tblCellMar>
            <w:top w:w="0" w:type="dxa"/>
            <w:left w:w="108" w:type="dxa"/>
            <w:bottom w:w="0" w:type="dxa"/>
            <w:right w:w="108" w:type="dxa"/>
          </w:tblCellMar>
        </w:tblPrEx>
        <w:trPr>
          <w:jc w:val="center"/>
        </w:trPr>
        <w:tc>
          <w:tcPr>
            <w:tcW w:w="1080" w:type="dxa"/>
            <w:vMerge w:val="restart"/>
            <w:tcBorders>
              <w:top w:val="nil"/>
              <w:left w:val="single" w:color="auto" w:sz="4" w:space="0"/>
              <w:right w:val="single" w:color="auto" w:sz="4" w:space="0"/>
            </w:tcBorders>
            <w:noWrap w:val="0"/>
            <w:vAlign w:val="center"/>
          </w:tcPr>
          <w:p w14:paraId="476387DF">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绩</w:t>
            </w:r>
          </w:p>
          <w:p w14:paraId="0C02BF2F">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效</w:t>
            </w:r>
          </w:p>
          <w:p w14:paraId="1A6AB38E">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指</w:t>
            </w:r>
          </w:p>
          <w:p w14:paraId="6DFC977E">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标</w:t>
            </w:r>
          </w:p>
          <w:p w14:paraId="550569DF">
            <w:pPr>
              <w:widowControl/>
              <w:spacing w:line="240" w:lineRule="exact"/>
              <w:jc w:val="center"/>
              <w:rPr>
                <w:rFonts w:hint="eastAsia" w:ascii="仿宋_GB2312" w:hAnsi="仿宋_GB2312" w:eastAsia="仿宋_GB2312" w:cs="仿宋_GB2312"/>
                <w:color w:val="000000"/>
                <w:sz w:val="20"/>
                <w:szCs w:val="20"/>
                <w:highlight w:val="none"/>
              </w:rPr>
            </w:pPr>
          </w:p>
        </w:tc>
        <w:tc>
          <w:tcPr>
            <w:tcW w:w="1080" w:type="dxa"/>
            <w:tcBorders>
              <w:top w:val="nil"/>
              <w:left w:val="nil"/>
              <w:bottom w:val="single" w:color="auto" w:sz="4" w:space="0"/>
              <w:right w:val="single" w:color="auto" w:sz="4" w:space="0"/>
            </w:tcBorders>
            <w:noWrap w:val="0"/>
            <w:vAlign w:val="center"/>
          </w:tcPr>
          <w:p w14:paraId="16C261EA">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一级指标</w:t>
            </w:r>
          </w:p>
        </w:tc>
        <w:tc>
          <w:tcPr>
            <w:tcW w:w="1034" w:type="dxa"/>
            <w:tcBorders>
              <w:top w:val="nil"/>
              <w:left w:val="nil"/>
              <w:bottom w:val="single" w:color="auto" w:sz="4" w:space="0"/>
              <w:right w:val="single" w:color="auto" w:sz="4" w:space="0"/>
            </w:tcBorders>
            <w:noWrap w:val="0"/>
            <w:vAlign w:val="center"/>
          </w:tcPr>
          <w:p w14:paraId="4FB85D53">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二级指标</w:t>
            </w:r>
          </w:p>
        </w:tc>
        <w:tc>
          <w:tcPr>
            <w:tcW w:w="1270" w:type="dxa"/>
            <w:tcBorders>
              <w:top w:val="nil"/>
              <w:left w:val="nil"/>
              <w:bottom w:val="single" w:color="auto" w:sz="4" w:space="0"/>
              <w:right w:val="single" w:color="auto" w:sz="4" w:space="0"/>
            </w:tcBorders>
            <w:noWrap w:val="0"/>
            <w:vAlign w:val="center"/>
          </w:tcPr>
          <w:p w14:paraId="7948F5B2">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三级指标</w:t>
            </w:r>
          </w:p>
        </w:tc>
        <w:tc>
          <w:tcPr>
            <w:tcW w:w="1311" w:type="dxa"/>
            <w:tcBorders>
              <w:top w:val="nil"/>
              <w:left w:val="nil"/>
              <w:bottom w:val="single" w:color="auto" w:sz="4" w:space="0"/>
              <w:right w:val="single" w:color="auto" w:sz="4" w:space="0"/>
            </w:tcBorders>
            <w:noWrap w:val="0"/>
            <w:vAlign w:val="center"/>
          </w:tcPr>
          <w:p w14:paraId="657ACBAB">
            <w:pPr>
              <w:widowControl/>
              <w:spacing w:line="240" w:lineRule="exact"/>
              <w:jc w:val="both"/>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年度指标值</w:t>
            </w:r>
          </w:p>
        </w:tc>
        <w:tc>
          <w:tcPr>
            <w:tcW w:w="1269" w:type="dxa"/>
            <w:tcBorders>
              <w:top w:val="nil"/>
              <w:left w:val="nil"/>
              <w:bottom w:val="single" w:color="auto" w:sz="4" w:space="0"/>
              <w:right w:val="single" w:color="auto" w:sz="4" w:space="0"/>
            </w:tcBorders>
            <w:noWrap w:val="0"/>
            <w:vAlign w:val="center"/>
          </w:tcPr>
          <w:p w14:paraId="6494FD3D">
            <w:pPr>
              <w:widowControl/>
              <w:spacing w:line="240" w:lineRule="exact"/>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实际完成值</w:t>
            </w:r>
          </w:p>
        </w:tc>
        <w:tc>
          <w:tcPr>
            <w:tcW w:w="716" w:type="dxa"/>
            <w:tcBorders>
              <w:top w:val="nil"/>
              <w:left w:val="nil"/>
              <w:bottom w:val="single" w:color="auto" w:sz="4" w:space="0"/>
              <w:right w:val="single" w:color="auto" w:sz="4" w:space="0"/>
            </w:tcBorders>
            <w:noWrap w:val="0"/>
            <w:vAlign w:val="center"/>
          </w:tcPr>
          <w:p w14:paraId="113FA1FE">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分值</w:t>
            </w:r>
          </w:p>
        </w:tc>
        <w:tc>
          <w:tcPr>
            <w:tcW w:w="873" w:type="dxa"/>
            <w:tcBorders>
              <w:top w:val="nil"/>
              <w:left w:val="nil"/>
              <w:bottom w:val="single" w:color="auto" w:sz="4" w:space="0"/>
              <w:right w:val="single" w:color="auto" w:sz="4" w:space="0"/>
            </w:tcBorders>
            <w:noWrap w:val="0"/>
            <w:vAlign w:val="center"/>
          </w:tcPr>
          <w:p w14:paraId="47F804BF">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得分</w:t>
            </w:r>
          </w:p>
        </w:tc>
        <w:tc>
          <w:tcPr>
            <w:tcW w:w="1446" w:type="dxa"/>
            <w:tcBorders>
              <w:top w:val="nil"/>
              <w:left w:val="nil"/>
              <w:bottom w:val="single" w:color="auto" w:sz="4" w:space="0"/>
              <w:right w:val="single" w:color="auto" w:sz="4" w:space="0"/>
            </w:tcBorders>
            <w:noWrap w:val="0"/>
            <w:vAlign w:val="center"/>
          </w:tcPr>
          <w:p w14:paraId="129CD5DA">
            <w:pPr>
              <w:widowControl/>
              <w:spacing w:line="240" w:lineRule="exact"/>
              <w:jc w:val="both"/>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偏差原因分析及改进措施</w:t>
            </w:r>
          </w:p>
        </w:tc>
      </w:tr>
      <w:tr w14:paraId="3E0E5788">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14:paraId="4BCF120A">
            <w:pPr>
              <w:spacing w:line="240" w:lineRule="exact"/>
              <w:jc w:val="left"/>
              <w:rPr>
                <w:rFonts w:hint="eastAsia" w:ascii="仿宋_GB2312" w:hAnsi="仿宋_GB2312" w:eastAsia="仿宋_GB2312" w:cs="仿宋_GB2312"/>
                <w:color w:val="000000"/>
                <w:sz w:val="20"/>
                <w:szCs w:val="20"/>
                <w:highlight w:val="none"/>
              </w:rPr>
            </w:pPr>
          </w:p>
        </w:tc>
        <w:tc>
          <w:tcPr>
            <w:tcW w:w="1080" w:type="dxa"/>
            <w:vMerge w:val="restart"/>
            <w:tcBorders>
              <w:top w:val="nil"/>
              <w:left w:val="nil"/>
              <w:right w:val="single" w:color="auto" w:sz="4" w:space="0"/>
            </w:tcBorders>
            <w:noWrap w:val="0"/>
            <w:vAlign w:val="center"/>
          </w:tcPr>
          <w:p w14:paraId="73C9DE2E">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产出指标</w:t>
            </w:r>
          </w:p>
          <w:p w14:paraId="66AA9649">
            <w:pPr>
              <w:widowControl/>
              <w:spacing w:line="240" w:lineRule="exact"/>
              <w:jc w:val="center"/>
              <w:rPr>
                <w:rFonts w:hint="eastAsia" w:ascii="仿宋_GB2312" w:hAnsi="仿宋_GB2312" w:eastAsia="仿宋_GB2312" w:cs="仿宋_GB2312"/>
                <w:color w:val="000000"/>
                <w:sz w:val="20"/>
                <w:szCs w:val="20"/>
                <w:highlight w:val="none"/>
              </w:rPr>
            </w:pPr>
          </w:p>
          <w:p w14:paraId="2A4F67DF">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(50分)</w:t>
            </w:r>
          </w:p>
        </w:tc>
        <w:tc>
          <w:tcPr>
            <w:tcW w:w="1034" w:type="dxa"/>
            <w:vMerge w:val="restart"/>
            <w:tcBorders>
              <w:top w:val="nil"/>
              <w:left w:val="nil"/>
              <w:right w:val="single" w:color="auto" w:sz="4" w:space="0"/>
            </w:tcBorders>
            <w:noWrap w:val="0"/>
            <w:vAlign w:val="center"/>
          </w:tcPr>
          <w:p w14:paraId="4EC22A0E">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数量指标</w:t>
            </w:r>
          </w:p>
        </w:tc>
        <w:tc>
          <w:tcPr>
            <w:tcW w:w="1270" w:type="dxa"/>
            <w:tcBorders>
              <w:top w:val="nil"/>
              <w:left w:val="nil"/>
              <w:bottom w:val="single" w:color="auto" w:sz="4" w:space="0"/>
              <w:right w:val="single" w:color="auto" w:sz="4" w:space="0"/>
            </w:tcBorders>
            <w:noWrap w:val="0"/>
            <w:vAlign w:val="center"/>
          </w:tcPr>
          <w:p w14:paraId="41FB7C95">
            <w:pPr>
              <w:widowControl/>
              <w:spacing w:line="240" w:lineRule="exact"/>
              <w:jc w:val="left"/>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血液核酸标本检测数</w:t>
            </w:r>
          </w:p>
        </w:tc>
        <w:tc>
          <w:tcPr>
            <w:tcW w:w="1311" w:type="dxa"/>
            <w:tcBorders>
              <w:top w:val="nil"/>
              <w:left w:val="nil"/>
              <w:bottom w:val="single" w:color="auto" w:sz="4" w:space="0"/>
              <w:right w:val="single" w:color="auto" w:sz="4" w:space="0"/>
            </w:tcBorders>
            <w:noWrap w:val="0"/>
            <w:vAlign w:val="center"/>
          </w:tcPr>
          <w:p w14:paraId="3DB64B1D">
            <w:pPr>
              <w:widowControl/>
              <w:spacing w:line="240" w:lineRule="exact"/>
              <w:jc w:val="left"/>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　</w:t>
            </w:r>
            <w:r>
              <w:rPr>
                <w:rFonts w:hint="eastAsia" w:ascii="仿宋_GB2312" w:hAnsi="仿宋_GB2312" w:eastAsia="仿宋_GB2312" w:cs="仿宋_GB2312"/>
                <w:color w:val="000000"/>
                <w:sz w:val="20"/>
                <w:szCs w:val="20"/>
                <w:highlight w:val="none"/>
                <w:lang w:val="en-US" w:eastAsia="zh-CN"/>
              </w:rPr>
              <w:t>60000人份</w:t>
            </w:r>
          </w:p>
        </w:tc>
        <w:tc>
          <w:tcPr>
            <w:tcW w:w="1269" w:type="dxa"/>
            <w:tcBorders>
              <w:top w:val="nil"/>
              <w:left w:val="nil"/>
              <w:bottom w:val="single" w:color="auto" w:sz="4" w:space="0"/>
              <w:right w:val="single" w:color="auto" w:sz="4" w:space="0"/>
            </w:tcBorders>
            <w:noWrap w:val="0"/>
            <w:vAlign w:val="center"/>
          </w:tcPr>
          <w:p w14:paraId="1CF26487">
            <w:pPr>
              <w:widowControl/>
              <w:spacing w:line="240" w:lineRule="exact"/>
              <w:jc w:val="left"/>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　</w:t>
            </w:r>
            <w:r>
              <w:rPr>
                <w:rFonts w:hint="eastAsia" w:ascii="仿宋_GB2312" w:hAnsi="仿宋_GB2312" w:eastAsia="仿宋_GB2312" w:cs="仿宋_GB2312"/>
                <w:color w:val="000000"/>
                <w:sz w:val="20"/>
                <w:szCs w:val="20"/>
                <w:highlight w:val="none"/>
                <w:lang w:val="en-US" w:eastAsia="zh-CN"/>
              </w:rPr>
              <w:t>57842人份</w:t>
            </w:r>
          </w:p>
        </w:tc>
        <w:tc>
          <w:tcPr>
            <w:tcW w:w="716" w:type="dxa"/>
            <w:tcBorders>
              <w:top w:val="nil"/>
              <w:left w:val="nil"/>
              <w:bottom w:val="single" w:color="auto" w:sz="4" w:space="0"/>
              <w:right w:val="single" w:color="auto" w:sz="4" w:space="0"/>
            </w:tcBorders>
            <w:noWrap w:val="0"/>
            <w:vAlign w:val="center"/>
          </w:tcPr>
          <w:p w14:paraId="7D1F56B5">
            <w:pPr>
              <w:widowControl/>
              <w:spacing w:line="240" w:lineRule="exact"/>
              <w:jc w:val="left"/>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　</w:t>
            </w:r>
            <w:r>
              <w:rPr>
                <w:rFonts w:hint="eastAsia" w:ascii="仿宋_GB2312" w:hAnsi="仿宋_GB2312" w:eastAsia="仿宋_GB2312" w:cs="仿宋_GB2312"/>
                <w:color w:val="000000"/>
                <w:sz w:val="20"/>
                <w:szCs w:val="20"/>
                <w:highlight w:val="none"/>
                <w:lang w:val="en-US" w:eastAsia="zh-CN"/>
              </w:rPr>
              <w:t>10</w:t>
            </w:r>
          </w:p>
        </w:tc>
        <w:tc>
          <w:tcPr>
            <w:tcW w:w="873" w:type="dxa"/>
            <w:tcBorders>
              <w:top w:val="nil"/>
              <w:left w:val="nil"/>
              <w:bottom w:val="single" w:color="auto" w:sz="4" w:space="0"/>
              <w:right w:val="single" w:color="auto" w:sz="4" w:space="0"/>
            </w:tcBorders>
            <w:noWrap w:val="0"/>
            <w:vAlign w:val="center"/>
          </w:tcPr>
          <w:p w14:paraId="6FEB373E">
            <w:pPr>
              <w:widowControl/>
              <w:spacing w:line="240" w:lineRule="exact"/>
              <w:jc w:val="left"/>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　</w:t>
            </w:r>
            <w:r>
              <w:rPr>
                <w:rFonts w:hint="eastAsia" w:ascii="仿宋_GB2312" w:hAnsi="仿宋_GB2312" w:eastAsia="仿宋_GB2312" w:cs="仿宋_GB2312"/>
                <w:color w:val="000000"/>
                <w:sz w:val="20"/>
                <w:szCs w:val="20"/>
                <w:highlight w:val="none"/>
                <w:lang w:val="en-US" w:eastAsia="zh-CN"/>
              </w:rPr>
              <w:t>9.5</w:t>
            </w:r>
          </w:p>
        </w:tc>
        <w:tc>
          <w:tcPr>
            <w:tcW w:w="1446" w:type="dxa"/>
            <w:tcBorders>
              <w:top w:val="nil"/>
              <w:left w:val="nil"/>
              <w:bottom w:val="single" w:color="auto" w:sz="4" w:space="0"/>
              <w:right w:val="single" w:color="auto" w:sz="4" w:space="0"/>
            </w:tcBorders>
            <w:noWrap w:val="0"/>
            <w:vAlign w:val="center"/>
          </w:tcPr>
          <w:p w14:paraId="470864A8">
            <w:pPr>
              <w:widowControl/>
              <w:spacing w:line="240" w:lineRule="exact"/>
              <w:jc w:val="left"/>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14:paraId="36C62BF6">
        <w:tblPrEx>
          <w:tblCellMar>
            <w:top w:w="0" w:type="dxa"/>
            <w:left w:w="108" w:type="dxa"/>
            <w:bottom w:w="0" w:type="dxa"/>
            <w:right w:w="108" w:type="dxa"/>
          </w:tblCellMar>
        </w:tblPrEx>
        <w:trPr>
          <w:trHeight w:val="355" w:hRule="atLeast"/>
          <w:jc w:val="center"/>
        </w:trPr>
        <w:tc>
          <w:tcPr>
            <w:tcW w:w="1080" w:type="dxa"/>
            <w:vMerge w:val="continue"/>
            <w:tcBorders>
              <w:left w:val="single" w:color="auto" w:sz="4" w:space="0"/>
              <w:right w:val="single" w:color="auto" w:sz="4" w:space="0"/>
            </w:tcBorders>
            <w:noWrap w:val="0"/>
            <w:vAlign w:val="center"/>
          </w:tcPr>
          <w:p w14:paraId="78679707">
            <w:pPr>
              <w:spacing w:line="240" w:lineRule="exact"/>
              <w:jc w:val="left"/>
              <w:rPr>
                <w:rFonts w:hint="eastAsia" w:ascii="仿宋_GB2312" w:hAnsi="仿宋_GB2312" w:eastAsia="仿宋_GB2312" w:cs="仿宋_GB2312"/>
                <w:color w:val="000000"/>
                <w:sz w:val="20"/>
                <w:szCs w:val="20"/>
                <w:highlight w:val="none"/>
              </w:rPr>
            </w:pPr>
          </w:p>
        </w:tc>
        <w:tc>
          <w:tcPr>
            <w:tcW w:w="1080" w:type="dxa"/>
            <w:vMerge w:val="continue"/>
            <w:tcBorders>
              <w:left w:val="nil"/>
              <w:right w:val="single" w:color="auto" w:sz="4" w:space="0"/>
            </w:tcBorders>
            <w:noWrap w:val="0"/>
            <w:vAlign w:val="center"/>
          </w:tcPr>
          <w:p w14:paraId="428875BC">
            <w:pPr>
              <w:spacing w:line="240" w:lineRule="exact"/>
              <w:jc w:val="left"/>
              <w:rPr>
                <w:rFonts w:hint="eastAsia" w:ascii="仿宋_GB2312" w:hAnsi="仿宋_GB2312" w:eastAsia="仿宋_GB2312" w:cs="仿宋_GB2312"/>
                <w:color w:val="000000"/>
                <w:sz w:val="20"/>
                <w:szCs w:val="20"/>
                <w:highlight w:val="none"/>
              </w:rPr>
            </w:pPr>
          </w:p>
        </w:tc>
        <w:tc>
          <w:tcPr>
            <w:tcW w:w="1034" w:type="dxa"/>
            <w:vMerge w:val="continue"/>
            <w:tcBorders>
              <w:left w:val="nil"/>
              <w:right w:val="single" w:color="auto" w:sz="4" w:space="0"/>
            </w:tcBorders>
            <w:noWrap w:val="0"/>
            <w:vAlign w:val="center"/>
          </w:tcPr>
          <w:p w14:paraId="4109D64B">
            <w:pPr>
              <w:spacing w:line="240" w:lineRule="exact"/>
              <w:jc w:val="center"/>
              <w:rPr>
                <w:rFonts w:hint="eastAsia" w:ascii="仿宋_GB2312" w:hAnsi="仿宋_GB2312" w:eastAsia="仿宋_GB2312" w:cs="仿宋_GB2312"/>
                <w:color w:val="000000"/>
                <w:sz w:val="20"/>
                <w:szCs w:val="20"/>
                <w:highlight w:val="none"/>
              </w:rPr>
            </w:pPr>
          </w:p>
        </w:tc>
        <w:tc>
          <w:tcPr>
            <w:tcW w:w="1270" w:type="dxa"/>
            <w:tcBorders>
              <w:top w:val="nil"/>
              <w:left w:val="nil"/>
              <w:bottom w:val="single" w:color="auto" w:sz="4" w:space="0"/>
              <w:right w:val="single" w:color="auto" w:sz="4" w:space="0"/>
            </w:tcBorders>
            <w:noWrap w:val="0"/>
            <w:vAlign w:val="center"/>
          </w:tcPr>
          <w:p w14:paraId="1976A95D">
            <w:pPr>
              <w:widowControl/>
              <w:spacing w:line="240" w:lineRule="exact"/>
              <w:jc w:val="left"/>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血液采集量</w:t>
            </w:r>
          </w:p>
        </w:tc>
        <w:tc>
          <w:tcPr>
            <w:tcW w:w="1311" w:type="dxa"/>
            <w:tcBorders>
              <w:top w:val="nil"/>
              <w:left w:val="nil"/>
              <w:bottom w:val="single" w:color="auto" w:sz="4" w:space="0"/>
              <w:right w:val="single" w:color="auto" w:sz="4" w:space="0"/>
            </w:tcBorders>
            <w:noWrap w:val="0"/>
            <w:vAlign w:val="center"/>
          </w:tcPr>
          <w:p w14:paraId="2687CAB6">
            <w:pPr>
              <w:widowControl/>
              <w:spacing w:line="240" w:lineRule="exact"/>
              <w:jc w:val="left"/>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　</w:t>
            </w:r>
            <w:r>
              <w:rPr>
                <w:rFonts w:hint="eastAsia" w:ascii="仿宋_GB2312" w:hAnsi="仿宋_GB2312" w:eastAsia="仿宋_GB2312" w:cs="仿宋_GB2312"/>
                <w:color w:val="000000"/>
                <w:sz w:val="20"/>
                <w:szCs w:val="20"/>
                <w:highlight w:val="none"/>
                <w:lang w:val="en-US" w:eastAsia="zh-CN"/>
              </w:rPr>
              <w:t>22吨</w:t>
            </w:r>
          </w:p>
        </w:tc>
        <w:tc>
          <w:tcPr>
            <w:tcW w:w="1269" w:type="dxa"/>
            <w:tcBorders>
              <w:top w:val="nil"/>
              <w:left w:val="nil"/>
              <w:bottom w:val="single" w:color="auto" w:sz="4" w:space="0"/>
              <w:right w:val="single" w:color="auto" w:sz="4" w:space="0"/>
            </w:tcBorders>
            <w:noWrap w:val="0"/>
            <w:vAlign w:val="center"/>
          </w:tcPr>
          <w:p w14:paraId="23EBF87A">
            <w:pPr>
              <w:widowControl/>
              <w:spacing w:line="240" w:lineRule="exact"/>
              <w:jc w:val="left"/>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　</w:t>
            </w:r>
            <w:r>
              <w:rPr>
                <w:rFonts w:hint="eastAsia" w:ascii="仿宋_GB2312" w:hAnsi="仿宋_GB2312" w:eastAsia="仿宋_GB2312" w:cs="仿宋_GB2312"/>
                <w:color w:val="000000"/>
                <w:sz w:val="20"/>
                <w:szCs w:val="20"/>
                <w:highlight w:val="none"/>
                <w:lang w:val="en-US" w:eastAsia="zh-CN"/>
              </w:rPr>
              <w:t>21.23吨</w:t>
            </w:r>
          </w:p>
        </w:tc>
        <w:tc>
          <w:tcPr>
            <w:tcW w:w="716" w:type="dxa"/>
            <w:tcBorders>
              <w:top w:val="nil"/>
              <w:left w:val="nil"/>
              <w:bottom w:val="single" w:color="auto" w:sz="4" w:space="0"/>
              <w:right w:val="single" w:color="auto" w:sz="4" w:space="0"/>
            </w:tcBorders>
            <w:noWrap w:val="0"/>
            <w:vAlign w:val="center"/>
          </w:tcPr>
          <w:p w14:paraId="4321D538">
            <w:pPr>
              <w:widowControl/>
              <w:spacing w:line="240" w:lineRule="exact"/>
              <w:jc w:val="left"/>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　</w:t>
            </w:r>
            <w:r>
              <w:rPr>
                <w:rFonts w:hint="eastAsia" w:ascii="仿宋_GB2312" w:hAnsi="仿宋_GB2312" w:eastAsia="仿宋_GB2312" w:cs="仿宋_GB2312"/>
                <w:color w:val="000000"/>
                <w:sz w:val="20"/>
                <w:szCs w:val="20"/>
                <w:highlight w:val="none"/>
                <w:lang w:val="en-US" w:eastAsia="zh-CN"/>
              </w:rPr>
              <w:t>10</w:t>
            </w:r>
          </w:p>
        </w:tc>
        <w:tc>
          <w:tcPr>
            <w:tcW w:w="873" w:type="dxa"/>
            <w:tcBorders>
              <w:top w:val="nil"/>
              <w:left w:val="nil"/>
              <w:bottom w:val="single" w:color="auto" w:sz="4" w:space="0"/>
              <w:right w:val="single" w:color="auto" w:sz="4" w:space="0"/>
            </w:tcBorders>
            <w:noWrap w:val="0"/>
            <w:vAlign w:val="center"/>
          </w:tcPr>
          <w:p w14:paraId="3A37B6FE">
            <w:pPr>
              <w:widowControl/>
              <w:spacing w:line="240" w:lineRule="exact"/>
              <w:jc w:val="left"/>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　</w:t>
            </w:r>
            <w:r>
              <w:rPr>
                <w:rFonts w:hint="eastAsia" w:ascii="仿宋_GB2312" w:hAnsi="仿宋_GB2312" w:eastAsia="仿宋_GB2312" w:cs="仿宋_GB2312"/>
                <w:color w:val="000000"/>
                <w:sz w:val="20"/>
                <w:szCs w:val="20"/>
                <w:highlight w:val="none"/>
                <w:lang w:val="en-US" w:eastAsia="zh-CN"/>
              </w:rPr>
              <w:t>9.5</w:t>
            </w:r>
          </w:p>
        </w:tc>
        <w:tc>
          <w:tcPr>
            <w:tcW w:w="1446" w:type="dxa"/>
            <w:tcBorders>
              <w:top w:val="nil"/>
              <w:left w:val="nil"/>
              <w:bottom w:val="single" w:color="auto" w:sz="4" w:space="0"/>
              <w:right w:val="single" w:color="auto" w:sz="4" w:space="0"/>
            </w:tcBorders>
            <w:noWrap w:val="0"/>
            <w:vAlign w:val="center"/>
          </w:tcPr>
          <w:p w14:paraId="2AA1F204">
            <w:pPr>
              <w:widowControl/>
              <w:spacing w:line="240" w:lineRule="exact"/>
              <w:jc w:val="left"/>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14:paraId="21B8A251">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14:paraId="3C224F32">
            <w:pPr>
              <w:spacing w:line="240" w:lineRule="exact"/>
              <w:jc w:val="left"/>
              <w:rPr>
                <w:rFonts w:hint="eastAsia" w:ascii="仿宋_GB2312" w:hAnsi="仿宋_GB2312" w:eastAsia="仿宋_GB2312" w:cs="仿宋_GB2312"/>
                <w:color w:val="000000"/>
                <w:sz w:val="20"/>
                <w:szCs w:val="20"/>
                <w:highlight w:val="none"/>
              </w:rPr>
            </w:pPr>
          </w:p>
        </w:tc>
        <w:tc>
          <w:tcPr>
            <w:tcW w:w="1080" w:type="dxa"/>
            <w:vMerge w:val="continue"/>
            <w:tcBorders>
              <w:left w:val="nil"/>
              <w:right w:val="single" w:color="auto" w:sz="4" w:space="0"/>
            </w:tcBorders>
            <w:noWrap w:val="0"/>
            <w:vAlign w:val="center"/>
          </w:tcPr>
          <w:p w14:paraId="607BFC97">
            <w:pPr>
              <w:spacing w:line="240" w:lineRule="exact"/>
              <w:jc w:val="left"/>
              <w:rPr>
                <w:rFonts w:hint="eastAsia" w:ascii="仿宋_GB2312" w:hAnsi="仿宋_GB2312" w:eastAsia="仿宋_GB2312" w:cs="仿宋_GB2312"/>
                <w:color w:val="000000"/>
                <w:sz w:val="20"/>
                <w:szCs w:val="20"/>
                <w:highlight w:val="none"/>
              </w:rPr>
            </w:pPr>
          </w:p>
        </w:tc>
        <w:tc>
          <w:tcPr>
            <w:tcW w:w="1034" w:type="dxa"/>
            <w:vMerge w:val="continue"/>
            <w:tcBorders>
              <w:left w:val="nil"/>
              <w:bottom w:val="single" w:color="auto" w:sz="4" w:space="0"/>
              <w:right w:val="single" w:color="auto" w:sz="4" w:space="0"/>
            </w:tcBorders>
            <w:noWrap w:val="0"/>
            <w:vAlign w:val="center"/>
          </w:tcPr>
          <w:p w14:paraId="532C6BE1">
            <w:pPr>
              <w:widowControl/>
              <w:spacing w:line="240" w:lineRule="exact"/>
              <w:jc w:val="center"/>
              <w:rPr>
                <w:rFonts w:hint="eastAsia" w:ascii="仿宋_GB2312" w:hAnsi="仿宋_GB2312" w:eastAsia="仿宋_GB2312" w:cs="仿宋_GB2312"/>
                <w:color w:val="000000"/>
                <w:sz w:val="20"/>
                <w:szCs w:val="20"/>
                <w:highlight w:val="none"/>
              </w:rPr>
            </w:pPr>
          </w:p>
        </w:tc>
        <w:tc>
          <w:tcPr>
            <w:tcW w:w="1270" w:type="dxa"/>
            <w:tcBorders>
              <w:top w:val="nil"/>
              <w:left w:val="nil"/>
              <w:bottom w:val="single" w:color="auto" w:sz="4" w:space="0"/>
              <w:right w:val="single" w:color="auto" w:sz="4" w:space="0"/>
            </w:tcBorders>
            <w:noWrap w:val="0"/>
            <w:vAlign w:val="center"/>
          </w:tcPr>
          <w:p w14:paraId="1DF95418">
            <w:pPr>
              <w:widowControl/>
              <w:spacing w:line="240" w:lineRule="exact"/>
              <w:jc w:val="center"/>
              <w:rPr>
                <w:rFonts w:hint="eastAsia" w:ascii="仿宋_GB2312" w:hAnsi="仿宋_GB2312" w:eastAsia="仿宋_GB2312" w:cs="仿宋_GB2312"/>
                <w:color w:val="000000"/>
                <w:sz w:val="20"/>
                <w:szCs w:val="20"/>
                <w:highlight w:val="none"/>
              </w:rPr>
            </w:pPr>
          </w:p>
        </w:tc>
        <w:tc>
          <w:tcPr>
            <w:tcW w:w="1311" w:type="dxa"/>
            <w:tcBorders>
              <w:top w:val="nil"/>
              <w:left w:val="nil"/>
              <w:bottom w:val="single" w:color="auto" w:sz="4" w:space="0"/>
              <w:right w:val="single" w:color="auto" w:sz="4" w:space="0"/>
            </w:tcBorders>
            <w:noWrap w:val="0"/>
            <w:vAlign w:val="center"/>
          </w:tcPr>
          <w:p w14:paraId="7A73940F">
            <w:pPr>
              <w:widowControl/>
              <w:spacing w:line="240" w:lineRule="exact"/>
              <w:jc w:val="left"/>
              <w:rPr>
                <w:rFonts w:hint="eastAsia" w:ascii="仿宋_GB2312" w:hAnsi="仿宋_GB2312" w:eastAsia="仿宋_GB2312" w:cs="仿宋_GB2312"/>
                <w:color w:val="000000"/>
                <w:sz w:val="20"/>
                <w:szCs w:val="20"/>
                <w:highlight w:val="none"/>
              </w:rPr>
            </w:pPr>
          </w:p>
        </w:tc>
        <w:tc>
          <w:tcPr>
            <w:tcW w:w="1269" w:type="dxa"/>
            <w:tcBorders>
              <w:top w:val="nil"/>
              <w:left w:val="nil"/>
              <w:bottom w:val="single" w:color="auto" w:sz="4" w:space="0"/>
              <w:right w:val="single" w:color="auto" w:sz="4" w:space="0"/>
            </w:tcBorders>
            <w:noWrap w:val="0"/>
            <w:vAlign w:val="center"/>
          </w:tcPr>
          <w:p w14:paraId="4B643BFB">
            <w:pPr>
              <w:widowControl/>
              <w:spacing w:line="240" w:lineRule="exact"/>
              <w:jc w:val="left"/>
              <w:rPr>
                <w:rFonts w:hint="eastAsia" w:ascii="仿宋_GB2312" w:hAnsi="仿宋_GB2312" w:eastAsia="仿宋_GB2312" w:cs="仿宋_GB2312"/>
                <w:color w:val="000000"/>
                <w:sz w:val="20"/>
                <w:szCs w:val="20"/>
                <w:highlight w:val="none"/>
              </w:rPr>
            </w:pPr>
          </w:p>
        </w:tc>
        <w:tc>
          <w:tcPr>
            <w:tcW w:w="716" w:type="dxa"/>
            <w:tcBorders>
              <w:top w:val="nil"/>
              <w:left w:val="nil"/>
              <w:bottom w:val="single" w:color="auto" w:sz="4" w:space="0"/>
              <w:right w:val="single" w:color="auto" w:sz="4" w:space="0"/>
            </w:tcBorders>
            <w:noWrap w:val="0"/>
            <w:vAlign w:val="center"/>
          </w:tcPr>
          <w:p w14:paraId="029722B3">
            <w:pPr>
              <w:widowControl/>
              <w:spacing w:line="240" w:lineRule="exact"/>
              <w:jc w:val="left"/>
              <w:rPr>
                <w:rFonts w:hint="eastAsia" w:ascii="仿宋_GB2312" w:hAnsi="仿宋_GB2312" w:eastAsia="仿宋_GB2312" w:cs="仿宋_GB2312"/>
                <w:color w:val="000000"/>
                <w:sz w:val="20"/>
                <w:szCs w:val="20"/>
                <w:highlight w:val="none"/>
              </w:rPr>
            </w:pPr>
          </w:p>
        </w:tc>
        <w:tc>
          <w:tcPr>
            <w:tcW w:w="873" w:type="dxa"/>
            <w:tcBorders>
              <w:top w:val="nil"/>
              <w:left w:val="nil"/>
              <w:bottom w:val="single" w:color="auto" w:sz="4" w:space="0"/>
              <w:right w:val="single" w:color="auto" w:sz="4" w:space="0"/>
            </w:tcBorders>
            <w:noWrap w:val="0"/>
            <w:vAlign w:val="center"/>
          </w:tcPr>
          <w:p w14:paraId="0451FE02">
            <w:pPr>
              <w:widowControl/>
              <w:spacing w:line="240" w:lineRule="exact"/>
              <w:jc w:val="left"/>
              <w:rPr>
                <w:rFonts w:hint="eastAsia" w:ascii="仿宋_GB2312" w:hAnsi="仿宋_GB2312" w:eastAsia="仿宋_GB2312" w:cs="仿宋_GB2312"/>
                <w:color w:val="000000"/>
                <w:sz w:val="20"/>
                <w:szCs w:val="20"/>
                <w:highlight w:val="none"/>
              </w:rPr>
            </w:pPr>
          </w:p>
        </w:tc>
        <w:tc>
          <w:tcPr>
            <w:tcW w:w="1446" w:type="dxa"/>
            <w:tcBorders>
              <w:top w:val="nil"/>
              <w:left w:val="nil"/>
              <w:bottom w:val="single" w:color="auto" w:sz="4" w:space="0"/>
              <w:right w:val="single" w:color="auto" w:sz="4" w:space="0"/>
            </w:tcBorders>
            <w:noWrap w:val="0"/>
            <w:vAlign w:val="center"/>
          </w:tcPr>
          <w:p w14:paraId="0B1507E7">
            <w:pPr>
              <w:widowControl/>
              <w:spacing w:line="240" w:lineRule="exact"/>
              <w:jc w:val="left"/>
              <w:rPr>
                <w:rFonts w:hint="eastAsia" w:ascii="仿宋_GB2312" w:hAnsi="仿宋_GB2312" w:eastAsia="仿宋_GB2312" w:cs="仿宋_GB2312"/>
                <w:color w:val="000000"/>
                <w:sz w:val="20"/>
                <w:szCs w:val="20"/>
                <w:highlight w:val="none"/>
              </w:rPr>
            </w:pPr>
          </w:p>
        </w:tc>
      </w:tr>
      <w:tr w14:paraId="60CBB3DC">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14:paraId="40FE9877">
            <w:pPr>
              <w:spacing w:line="240" w:lineRule="exact"/>
              <w:jc w:val="left"/>
              <w:rPr>
                <w:rFonts w:hint="eastAsia" w:ascii="仿宋_GB2312" w:hAnsi="仿宋_GB2312" w:eastAsia="仿宋_GB2312" w:cs="仿宋_GB2312"/>
                <w:color w:val="000000"/>
                <w:sz w:val="20"/>
                <w:szCs w:val="20"/>
                <w:highlight w:val="none"/>
              </w:rPr>
            </w:pPr>
          </w:p>
        </w:tc>
        <w:tc>
          <w:tcPr>
            <w:tcW w:w="1080" w:type="dxa"/>
            <w:vMerge w:val="continue"/>
            <w:tcBorders>
              <w:left w:val="nil"/>
              <w:right w:val="single" w:color="auto" w:sz="4" w:space="0"/>
            </w:tcBorders>
            <w:noWrap w:val="0"/>
            <w:vAlign w:val="center"/>
          </w:tcPr>
          <w:p w14:paraId="27E44704">
            <w:pPr>
              <w:spacing w:line="240" w:lineRule="exact"/>
              <w:jc w:val="left"/>
              <w:rPr>
                <w:rFonts w:hint="eastAsia" w:ascii="仿宋_GB2312" w:hAnsi="仿宋_GB2312" w:eastAsia="仿宋_GB2312" w:cs="仿宋_GB2312"/>
                <w:color w:val="000000"/>
                <w:sz w:val="20"/>
                <w:szCs w:val="20"/>
                <w:highlight w:val="none"/>
              </w:rPr>
            </w:pPr>
          </w:p>
        </w:tc>
        <w:tc>
          <w:tcPr>
            <w:tcW w:w="1034" w:type="dxa"/>
            <w:vMerge w:val="restart"/>
            <w:tcBorders>
              <w:top w:val="nil"/>
              <w:left w:val="nil"/>
              <w:right w:val="single" w:color="auto" w:sz="4" w:space="0"/>
            </w:tcBorders>
            <w:noWrap w:val="0"/>
            <w:vAlign w:val="center"/>
          </w:tcPr>
          <w:p w14:paraId="0F25228A">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质量指标</w:t>
            </w:r>
          </w:p>
        </w:tc>
        <w:tc>
          <w:tcPr>
            <w:tcW w:w="1270" w:type="dxa"/>
            <w:tcBorders>
              <w:top w:val="nil"/>
              <w:left w:val="nil"/>
              <w:bottom w:val="single" w:color="auto" w:sz="4" w:space="0"/>
              <w:right w:val="single" w:color="auto" w:sz="4" w:space="0"/>
            </w:tcBorders>
            <w:noWrap w:val="0"/>
            <w:vAlign w:val="center"/>
          </w:tcPr>
          <w:p w14:paraId="123B83D4">
            <w:pPr>
              <w:widowControl/>
              <w:spacing w:line="240" w:lineRule="exact"/>
              <w:jc w:val="center"/>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血液质量管理项目</w:t>
            </w:r>
          </w:p>
        </w:tc>
        <w:tc>
          <w:tcPr>
            <w:tcW w:w="1311" w:type="dxa"/>
            <w:tcBorders>
              <w:top w:val="nil"/>
              <w:left w:val="nil"/>
              <w:bottom w:val="single" w:color="auto" w:sz="4" w:space="0"/>
              <w:right w:val="single" w:color="auto" w:sz="4" w:space="0"/>
            </w:tcBorders>
            <w:noWrap w:val="0"/>
            <w:vAlign w:val="center"/>
          </w:tcPr>
          <w:p w14:paraId="377F7A17">
            <w:pPr>
              <w:widowControl/>
              <w:spacing w:line="240" w:lineRule="exact"/>
              <w:jc w:val="left"/>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　</w:t>
            </w:r>
            <w:r>
              <w:rPr>
                <w:rFonts w:hint="eastAsia" w:ascii="仿宋_GB2312" w:hAnsi="仿宋_GB2312" w:eastAsia="仿宋_GB2312" w:cs="仿宋_GB2312"/>
                <w:color w:val="000000"/>
                <w:sz w:val="20"/>
                <w:szCs w:val="20"/>
                <w:highlight w:val="none"/>
                <w:lang w:val="en-US" w:eastAsia="zh-CN"/>
              </w:rPr>
              <w:t>实验室室间质评评价，通过率达100%</w:t>
            </w:r>
          </w:p>
        </w:tc>
        <w:tc>
          <w:tcPr>
            <w:tcW w:w="1269" w:type="dxa"/>
            <w:tcBorders>
              <w:top w:val="nil"/>
              <w:left w:val="nil"/>
              <w:bottom w:val="single" w:color="auto" w:sz="4" w:space="0"/>
              <w:right w:val="single" w:color="auto" w:sz="4" w:space="0"/>
            </w:tcBorders>
            <w:noWrap w:val="0"/>
            <w:vAlign w:val="center"/>
          </w:tcPr>
          <w:p w14:paraId="3AAD7407">
            <w:pPr>
              <w:widowControl/>
              <w:spacing w:line="240" w:lineRule="exact"/>
              <w:jc w:val="left"/>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　</w:t>
            </w:r>
            <w:r>
              <w:rPr>
                <w:rFonts w:hint="eastAsia" w:ascii="仿宋_GB2312" w:hAnsi="仿宋_GB2312" w:eastAsia="仿宋_GB2312" w:cs="仿宋_GB2312"/>
                <w:color w:val="000000"/>
                <w:sz w:val="20"/>
                <w:szCs w:val="20"/>
                <w:highlight w:val="none"/>
                <w:lang w:val="en-US" w:eastAsia="zh-CN"/>
              </w:rPr>
              <w:t>100%</w:t>
            </w:r>
          </w:p>
        </w:tc>
        <w:tc>
          <w:tcPr>
            <w:tcW w:w="716" w:type="dxa"/>
            <w:tcBorders>
              <w:top w:val="nil"/>
              <w:left w:val="nil"/>
              <w:bottom w:val="single" w:color="auto" w:sz="4" w:space="0"/>
              <w:right w:val="single" w:color="auto" w:sz="4" w:space="0"/>
            </w:tcBorders>
            <w:noWrap w:val="0"/>
            <w:vAlign w:val="center"/>
          </w:tcPr>
          <w:p w14:paraId="6B428E76">
            <w:pPr>
              <w:widowControl/>
              <w:spacing w:line="240" w:lineRule="exact"/>
              <w:jc w:val="left"/>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　</w:t>
            </w:r>
            <w:r>
              <w:rPr>
                <w:rFonts w:hint="eastAsia" w:ascii="仿宋_GB2312" w:hAnsi="仿宋_GB2312" w:eastAsia="仿宋_GB2312" w:cs="仿宋_GB2312"/>
                <w:color w:val="000000"/>
                <w:sz w:val="20"/>
                <w:szCs w:val="20"/>
                <w:highlight w:val="none"/>
                <w:lang w:val="en-US" w:eastAsia="zh-CN"/>
              </w:rPr>
              <w:t>10</w:t>
            </w:r>
          </w:p>
        </w:tc>
        <w:tc>
          <w:tcPr>
            <w:tcW w:w="873" w:type="dxa"/>
            <w:tcBorders>
              <w:top w:val="nil"/>
              <w:left w:val="nil"/>
              <w:bottom w:val="single" w:color="auto" w:sz="4" w:space="0"/>
              <w:right w:val="single" w:color="auto" w:sz="4" w:space="0"/>
            </w:tcBorders>
            <w:noWrap w:val="0"/>
            <w:vAlign w:val="center"/>
          </w:tcPr>
          <w:p w14:paraId="2FE518AD">
            <w:pPr>
              <w:widowControl/>
              <w:spacing w:line="240" w:lineRule="exact"/>
              <w:jc w:val="left"/>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　</w:t>
            </w:r>
            <w:r>
              <w:rPr>
                <w:rFonts w:hint="eastAsia" w:ascii="仿宋_GB2312" w:hAnsi="仿宋_GB2312" w:eastAsia="仿宋_GB2312" w:cs="仿宋_GB2312"/>
                <w:color w:val="000000"/>
                <w:sz w:val="20"/>
                <w:szCs w:val="20"/>
                <w:highlight w:val="none"/>
                <w:lang w:val="en-US" w:eastAsia="zh-CN"/>
              </w:rPr>
              <w:t>10</w:t>
            </w:r>
          </w:p>
        </w:tc>
        <w:tc>
          <w:tcPr>
            <w:tcW w:w="1446" w:type="dxa"/>
            <w:tcBorders>
              <w:top w:val="nil"/>
              <w:left w:val="nil"/>
              <w:bottom w:val="single" w:color="auto" w:sz="4" w:space="0"/>
              <w:right w:val="single" w:color="auto" w:sz="4" w:space="0"/>
            </w:tcBorders>
            <w:noWrap w:val="0"/>
            <w:vAlign w:val="center"/>
          </w:tcPr>
          <w:p w14:paraId="05B4C910">
            <w:pPr>
              <w:widowControl/>
              <w:spacing w:line="240" w:lineRule="exact"/>
              <w:jc w:val="left"/>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14:paraId="3E116BF3">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14:paraId="43A76683">
            <w:pPr>
              <w:spacing w:line="240" w:lineRule="exact"/>
              <w:jc w:val="left"/>
              <w:rPr>
                <w:rFonts w:hint="eastAsia" w:ascii="仿宋_GB2312" w:hAnsi="仿宋_GB2312" w:eastAsia="仿宋_GB2312" w:cs="仿宋_GB2312"/>
                <w:color w:val="000000"/>
                <w:sz w:val="20"/>
                <w:szCs w:val="20"/>
                <w:highlight w:val="none"/>
              </w:rPr>
            </w:pPr>
          </w:p>
        </w:tc>
        <w:tc>
          <w:tcPr>
            <w:tcW w:w="1080" w:type="dxa"/>
            <w:vMerge w:val="continue"/>
            <w:tcBorders>
              <w:left w:val="nil"/>
              <w:right w:val="single" w:color="auto" w:sz="4" w:space="0"/>
            </w:tcBorders>
            <w:noWrap w:val="0"/>
            <w:vAlign w:val="center"/>
          </w:tcPr>
          <w:p w14:paraId="78AAD132">
            <w:pPr>
              <w:spacing w:line="240" w:lineRule="exact"/>
              <w:jc w:val="left"/>
              <w:rPr>
                <w:rFonts w:hint="eastAsia" w:ascii="仿宋_GB2312" w:hAnsi="仿宋_GB2312" w:eastAsia="仿宋_GB2312" w:cs="仿宋_GB2312"/>
                <w:color w:val="000000"/>
                <w:sz w:val="20"/>
                <w:szCs w:val="20"/>
                <w:highlight w:val="none"/>
              </w:rPr>
            </w:pPr>
          </w:p>
        </w:tc>
        <w:tc>
          <w:tcPr>
            <w:tcW w:w="1034" w:type="dxa"/>
            <w:vMerge w:val="continue"/>
            <w:tcBorders>
              <w:left w:val="nil"/>
              <w:right w:val="single" w:color="auto" w:sz="4" w:space="0"/>
            </w:tcBorders>
            <w:noWrap w:val="0"/>
            <w:vAlign w:val="center"/>
          </w:tcPr>
          <w:p w14:paraId="6E67562D">
            <w:pPr>
              <w:spacing w:line="240" w:lineRule="exact"/>
              <w:jc w:val="center"/>
              <w:rPr>
                <w:rFonts w:hint="eastAsia" w:ascii="仿宋_GB2312" w:hAnsi="仿宋_GB2312" w:eastAsia="仿宋_GB2312" w:cs="仿宋_GB2312"/>
                <w:color w:val="000000"/>
                <w:sz w:val="20"/>
                <w:szCs w:val="20"/>
                <w:highlight w:val="none"/>
              </w:rPr>
            </w:pPr>
          </w:p>
        </w:tc>
        <w:tc>
          <w:tcPr>
            <w:tcW w:w="1270" w:type="dxa"/>
            <w:tcBorders>
              <w:top w:val="nil"/>
              <w:left w:val="nil"/>
              <w:bottom w:val="single" w:color="auto" w:sz="4" w:space="0"/>
              <w:right w:val="single" w:color="auto" w:sz="4" w:space="0"/>
            </w:tcBorders>
            <w:noWrap w:val="0"/>
            <w:vAlign w:val="center"/>
          </w:tcPr>
          <w:p w14:paraId="5E01D19C">
            <w:pPr>
              <w:widowControl/>
              <w:spacing w:line="240" w:lineRule="exact"/>
              <w:jc w:val="center"/>
              <w:rPr>
                <w:rFonts w:hint="eastAsia" w:ascii="仿宋_GB2312" w:hAnsi="仿宋_GB2312" w:eastAsia="仿宋_GB2312" w:cs="仿宋_GB2312"/>
                <w:color w:val="000000"/>
                <w:sz w:val="20"/>
                <w:szCs w:val="20"/>
                <w:highlight w:val="none"/>
              </w:rPr>
            </w:pPr>
          </w:p>
        </w:tc>
        <w:tc>
          <w:tcPr>
            <w:tcW w:w="1311" w:type="dxa"/>
            <w:tcBorders>
              <w:top w:val="nil"/>
              <w:left w:val="nil"/>
              <w:bottom w:val="single" w:color="auto" w:sz="4" w:space="0"/>
              <w:right w:val="single" w:color="auto" w:sz="4" w:space="0"/>
            </w:tcBorders>
            <w:noWrap w:val="0"/>
            <w:vAlign w:val="center"/>
          </w:tcPr>
          <w:p w14:paraId="587723F4">
            <w:pPr>
              <w:widowControl/>
              <w:spacing w:line="240" w:lineRule="exact"/>
              <w:jc w:val="left"/>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269" w:type="dxa"/>
            <w:tcBorders>
              <w:top w:val="nil"/>
              <w:left w:val="nil"/>
              <w:bottom w:val="single" w:color="auto" w:sz="4" w:space="0"/>
              <w:right w:val="single" w:color="auto" w:sz="4" w:space="0"/>
            </w:tcBorders>
            <w:noWrap w:val="0"/>
            <w:vAlign w:val="center"/>
          </w:tcPr>
          <w:p w14:paraId="18AD4460">
            <w:pPr>
              <w:widowControl/>
              <w:spacing w:line="240" w:lineRule="exact"/>
              <w:jc w:val="left"/>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716" w:type="dxa"/>
            <w:tcBorders>
              <w:top w:val="nil"/>
              <w:left w:val="nil"/>
              <w:bottom w:val="single" w:color="auto" w:sz="4" w:space="0"/>
              <w:right w:val="single" w:color="auto" w:sz="4" w:space="0"/>
            </w:tcBorders>
            <w:noWrap w:val="0"/>
            <w:vAlign w:val="center"/>
          </w:tcPr>
          <w:p w14:paraId="00780C34">
            <w:pPr>
              <w:widowControl/>
              <w:spacing w:line="240" w:lineRule="exact"/>
              <w:jc w:val="left"/>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873" w:type="dxa"/>
            <w:tcBorders>
              <w:top w:val="nil"/>
              <w:left w:val="nil"/>
              <w:bottom w:val="single" w:color="auto" w:sz="4" w:space="0"/>
              <w:right w:val="single" w:color="auto" w:sz="4" w:space="0"/>
            </w:tcBorders>
            <w:noWrap w:val="0"/>
            <w:vAlign w:val="center"/>
          </w:tcPr>
          <w:p w14:paraId="675ED567">
            <w:pPr>
              <w:widowControl/>
              <w:spacing w:line="240" w:lineRule="exact"/>
              <w:jc w:val="left"/>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446" w:type="dxa"/>
            <w:tcBorders>
              <w:top w:val="nil"/>
              <w:left w:val="nil"/>
              <w:bottom w:val="single" w:color="auto" w:sz="4" w:space="0"/>
              <w:right w:val="single" w:color="auto" w:sz="4" w:space="0"/>
            </w:tcBorders>
            <w:noWrap w:val="0"/>
            <w:vAlign w:val="center"/>
          </w:tcPr>
          <w:p w14:paraId="6BAB36A6">
            <w:pPr>
              <w:widowControl/>
              <w:spacing w:line="240" w:lineRule="exact"/>
              <w:jc w:val="left"/>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14:paraId="2ED247E5">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14:paraId="56AAB58B">
            <w:pPr>
              <w:spacing w:line="240" w:lineRule="exact"/>
              <w:jc w:val="left"/>
              <w:rPr>
                <w:rFonts w:hint="eastAsia" w:ascii="仿宋_GB2312" w:hAnsi="仿宋_GB2312" w:eastAsia="仿宋_GB2312" w:cs="仿宋_GB2312"/>
                <w:color w:val="000000"/>
                <w:sz w:val="20"/>
                <w:szCs w:val="20"/>
                <w:highlight w:val="none"/>
              </w:rPr>
            </w:pPr>
          </w:p>
        </w:tc>
        <w:tc>
          <w:tcPr>
            <w:tcW w:w="1080" w:type="dxa"/>
            <w:vMerge w:val="continue"/>
            <w:tcBorders>
              <w:left w:val="nil"/>
              <w:right w:val="single" w:color="auto" w:sz="4" w:space="0"/>
            </w:tcBorders>
            <w:noWrap w:val="0"/>
            <w:vAlign w:val="center"/>
          </w:tcPr>
          <w:p w14:paraId="026BF438">
            <w:pPr>
              <w:spacing w:line="240" w:lineRule="exact"/>
              <w:jc w:val="left"/>
              <w:rPr>
                <w:rFonts w:hint="eastAsia" w:ascii="仿宋_GB2312" w:hAnsi="仿宋_GB2312" w:eastAsia="仿宋_GB2312" w:cs="仿宋_GB2312"/>
                <w:color w:val="000000"/>
                <w:sz w:val="20"/>
                <w:szCs w:val="20"/>
                <w:highlight w:val="none"/>
              </w:rPr>
            </w:pPr>
          </w:p>
        </w:tc>
        <w:tc>
          <w:tcPr>
            <w:tcW w:w="1034" w:type="dxa"/>
            <w:vMerge w:val="continue"/>
            <w:tcBorders>
              <w:left w:val="nil"/>
              <w:bottom w:val="single" w:color="auto" w:sz="4" w:space="0"/>
              <w:right w:val="single" w:color="auto" w:sz="4" w:space="0"/>
            </w:tcBorders>
            <w:noWrap w:val="0"/>
            <w:vAlign w:val="center"/>
          </w:tcPr>
          <w:p w14:paraId="1B9673D9">
            <w:pPr>
              <w:widowControl/>
              <w:spacing w:line="240" w:lineRule="exact"/>
              <w:jc w:val="center"/>
              <w:rPr>
                <w:rFonts w:hint="eastAsia" w:ascii="仿宋_GB2312" w:hAnsi="仿宋_GB2312" w:eastAsia="仿宋_GB2312" w:cs="仿宋_GB2312"/>
                <w:color w:val="000000"/>
                <w:sz w:val="20"/>
                <w:szCs w:val="20"/>
                <w:highlight w:val="none"/>
              </w:rPr>
            </w:pPr>
          </w:p>
        </w:tc>
        <w:tc>
          <w:tcPr>
            <w:tcW w:w="1270" w:type="dxa"/>
            <w:tcBorders>
              <w:top w:val="nil"/>
              <w:left w:val="nil"/>
              <w:bottom w:val="single" w:color="auto" w:sz="4" w:space="0"/>
              <w:right w:val="single" w:color="auto" w:sz="4" w:space="0"/>
            </w:tcBorders>
            <w:noWrap w:val="0"/>
            <w:vAlign w:val="center"/>
          </w:tcPr>
          <w:p w14:paraId="590B5B56">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w:t>
            </w:r>
          </w:p>
        </w:tc>
        <w:tc>
          <w:tcPr>
            <w:tcW w:w="1311" w:type="dxa"/>
            <w:tcBorders>
              <w:top w:val="nil"/>
              <w:left w:val="nil"/>
              <w:bottom w:val="single" w:color="auto" w:sz="4" w:space="0"/>
              <w:right w:val="single" w:color="auto" w:sz="4" w:space="0"/>
            </w:tcBorders>
            <w:noWrap w:val="0"/>
            <w:vAlign w:val="center"/>
          </w:tcPr>
          <w:p w14:paraId="55596D9C">
            <w:pPr>
              <w:widowControl/>
              <w:spacing w:line="240" w:lineRule="exact"/>
              <w:jc w:val="left"/>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269" w:type="dxa"/>
            <w:tcBorders>
              <w:top w:val="nil"/>
              <w:left w:val="nil"/>
              <w:bottom w:val="single" w:color="auto" w:sz="4" w:space="0"/>
              <w:right w:val="single" w:color="auto" w:sz="4" w:space="0"/>
            </w:tcBorders>
            <w:noWrap w:val="0"/>
            <w:vAlign w:val="center"/>
          </w:tcPr>
          <w:p w14:paraId="5CA82B0D">
            <w:pPr>
              <w:widowControl/>
              <w:spacing w:line="240" w:lineRule="exact"/>
              <w:jc w:val="left"/>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716" w:type="dxa"/>
            <w:tcBorders>
              <w:top w:val="nil"/>
              <w:left w:val="nil"/>
              <w:bottom w:val="single" w:color="auto" w:sz="4" w:space="0"/>
              <w:right w:val="single" w:color="auto" w:sz="4" w:space="0"/>
            </w:tcBorders>
            <w:noWrap w:val="0"/>
            <w:vAlign w:val="center"/>
          </w:tcPr>
          <w:p w14:paraId="743649CE">
            <w:pPr>
              <w:widowControl/>
              <w:spacing w:line="240" w:lineRule="exact"/>
              <w:jc w:val="left"/>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873" w:type="dxa"/>
            <w:tcBorders>
              <w:top w:val="nil"/>
              <w:left w:val="nil"/>
              <w:bottom w:val="single" w:color="auto" w:sz="4" w:space="0"/>
              <w:right w:val="single" w:color="auto" w:sz="4" w:space="0"/>
            </w:tcBorders>
            <w:noWrap w:val="0"/>
            <w:vAlign w:val="center"/>
          </w:tcPr>
          <w:p w14:paraId="14119C96">
            <w:pPr>
              <w:widowControl/>
              <w:spacing w:line="240" w:lineRule="exact"/>
              <w:jc w:val="left"/>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446" w:type="dxa"/>
            <w:tcBorders>
              <w:top w:val="nil"/>
              <w:left w:val="nil"/>
              <w:bottom w:val="single" w:color="auto" w:sz="4" w:space="0"/>
              <w:right w:val="single" w:color="auto" w:sz="4" w:space="0"/>
            </w:tcBorders>
            <w:noWrap w:val="0"/>
            <w:vAlign w:val="center"/>
          </w:tcPr>
          <w:p w14:paraId="46DE0BEC">
            <w:pPr>
              <w:widowControl/>
              <w:spacing w:line="240" w:lineRule="exact"/>
              <w:jc w:val="left"/>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14:paraId="4A0E5358">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14:paraId="72C76230">
            <w:pPr>
              <w:spacing w:line="240" w:lineRule="exact"/>
              <w:jc w:val="left"/>
              <w:rPr>
                <w:rFonts w:hint="eastAsia" w:ascii="仿宋_GB2312" w:hAnsi="仿宋_GB2312" w:eastAsia="仿宋_GB2312" w:cs="仿宋_GB2312"/>
                <w:color w:val="000000"/>
                <w:sz w:val="20"/>
                <w:szCs w:val="20"/>
                <w:highlight w:val="none"/>
              </w:rPr>
            </w:pPr>
          </w:p>
        </w:tc>
        <w:tc>
          <w:tcPr>
            <w:tcW w:w="1080" w:type="dxa"/>
            <w:vMerge w:val="continue"/>
            <w:tcBorders>
              <w:left w:val="nil"/>
              <w:right w:val="single" w:color="auto" w:sz="4" w:space="0"/>
            </w:tcBorders>
            <w:noWrap w:val="0"/>
            <w:vAlign w:val="center"/>
          </w:tcPr>
          <w:p w14:paraId="76889525">
            <w:pPr>
              <w:spacing w:line="240" w:lineRule="exact"/>
              <w:jc w:val="left"/>
              <w:rPr>
                <w:rFonts w:hint="eastAsia" w:ascii="仿宋_GB2312" w:hAnsi="仿宋_GB2312" w:eastAsia="仿宋_GB2312" w:cs="仿宋_GB2312"/>
                <w:color w:val="000000"/>
                <w:sz w:val="20"/>
                <w:szCs w:val="20"/>
                <w:highlight w:val="none"/>
              </w:rPr>
            </w:pPr>
          </w:p>
        </w:tc>
        <w:tc>
          <w:tcPr>
            <w:tcW w:w="1034" w:type="dxa"/>
            <w:vMerge w:val="restart"/>
            <w:tcBorders>
              <w:top w:val="nil"/>
              <w:left w:val="nil"/>
              <w:right w:val="single" w:color="auto" w:sz="4" w:space="0"/>
            </w:tcBorders>
            <w:noWrap w:val="0"/>
            <w:vAlign w:val="center"/>
          </w:tcPr>
          <w:p w14:paraId="3470B5EF">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时效指标</w:t>
            </w:r>
          </w:p>
        </w:tc>
        <w:tc>
          <w:tcPr>
            <w:tcW w:w="1270" w:type="dxa"/>
            <w:tcBorders>
              <w:top w:val="nil"/>
              <w:left w:val="nil"/>
              <w:bottom w:val="single" w:color="auto" w:sz="4" w:space="0"/>
              <w:right w:val="single" w:color="auto" w:sz="4" w:space="0"/>
            </w:tcBorders>
            <w:noWrap w:val="0"/>
            <w:vAlign w:val="center"/>
          </w:tcPr>
          <w:p w14:paraId="2D1AC2CF">
            <w:pPr>
              <w:widowControl/>
              <w:spacing w:line="240" w:lineRule="exact"/>
              <w:jc w:val="center"/>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2024年底完成绩效目标</w:t>
            </w:r>
          </w:p>
        </w:tc>
        <w:tc>
          <w:tcPr>
            <w:tcW w:w="1311" w:type="dxa"/>
            <w:tcBorders>
              <w:top w:val="nil"/>
              <w:left w:val="nil"/>
              <w:bottom w:val="single" w:color="auto" w:sz="4" w:space="0"/>
              <w:right w:val="single" w:color="auto" w:sz="4" w:space="0"/>
            </w:tcBorders>
            <w:noWrap w:val="0"/>
            <w:vAlign w:val="center"/>
          </w:tcPr>
          <w:p w14:paraId="475CC9DD">
            <w:pPr>
              <w:widowControl/>
              <w:spacing w:line="240" w:lineRule="exact"/>
              <w:jc w:val="left"/>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r>
              <w:rPr>
                <w:rFonts w:hint="eastAsia" w:ascii="仿宋_GB2312" w:hAnsi="仿宋_GB2312" w:eastAsia="仿宋_GB2312" w:cs="仿宋_GB2312"/>
                <w:color w:val="000000"/>
                <w:sz w:val="20"/>
                <w:szCs w:val="20"/>
                <w:highlight w:val="none"/>
                <w:lang w:val="en-US" w:eastAsia="zh-CN"/>
              </w:rPr>
              <w:t>2024年底完成绩效目标</w:t>
            </w:r>
          </w:p>
        </w:tc>
        <w:tc>
          <w:tcPr>
            <w:tcW w:w="1269" w:type="dxa"/>
            <w:tcBorders>
              <w:top w:val="nil"/>
              <w:left w:val="nil"/>
              <w:bottom w:val="single" w:color="auto" w:sz="4" w:space="0"/>
              <w:right w:val="single" w:color="auto" w:sz="4" w:space="0"/>
            </w:tcBorders>
            <w:noWrap w:val="0"/>
            <w:vAlign w:val="center"/>
          </w:tcPr>
          <w:p w14:paraId="6B8FBCA4">
            <w:pPr>
              <w:widowControl/>
              <w:spacing w:line="240" w:lineRule="exact"/>
              <w:jc w:val="left"/>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　</w:t>
            </w:r>
            <w:r>
              <w:rPr>
                <w:rFonts w:hint="eastAsia" w:ascii="仿宋_GB2312" w:hAnsi="仿宋_GB2312" w:eastAsia="仿宋_GB2312" w:cs="仿宋_GB2312"/>
                <w:color w:val="000000"/>
                <w:sz w:val="20"/>
                <w:szCs w:val="20"/>
                <w:highlight w:val="none"/>
                <w:lang w:val="en-US" w:eastAsia="zh-CN"/>
              </w:rPr>
              <w:t>已完成</w:t>
            </w:r>
          </w:p>
        </w:tc>
        <w:tc>
          <w:tcPr>
            <w:tcW w:w="716" w:type="dxa"/>
            <w:tcBorders>
              <w:top w:val="nil"/>
              <w:left w:val="nil"/>
              <w:bottom w:val="single" w:color="auto" w:sz="4" w:space="0"/>
              <w:right w:val="single" w:color="auto" w:sz="4" w:space="0"/>
            </w:tcBorders>
            <w:noWrap w:val="0"/>
            <w:vAlign w:val="center"/>
          </w:tcPr>
          <w:p w14:paraId="558CD122">
            <w:pPr>
              <w:widowControl/>
              <w:spacing w:line="240" w:lineRule="exact"/>
              <w:jc w:val="left"/>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　</w:t>
            </w:r>
            <w:r>
              <w:rPr>
                <w:rFonts w:hint="eastAsia" w:ascii="仿宋_GB2312" w:hAnsi="仿宋_GB2312" w:eastAsia="仿宋_GB2312" w:cs="仿宋_GB2312"/>
                <w:color w:val="000000"/>
                <w:sz w:val="20"/>
                <w:szCs w:val="20"/>
                <w:highlight w:val="none"/>
                <w:lang w:val="en-US" w:eastAsia="zh-CN"/>
              </w:rPr>
              <w:t>10</w:t>
            </w:r>
          </w:p>
        </w:tc>
        <w:tc>
          <w:tcPr>
            <w:tcW w:w="873" w:type="dxa"/>
            <w:tcBorders>
              <w:top w:val="nil"/>
              <w:left w:val="nil"/>
              <w:bottom w:val="single" w:color="auto" w:sz="4" w:space="0"/>
              <w:right w:val="single" w:color="auto" w:sz="4" w:space="0"/>
            </w:tcBorders>
            <w:noWrap w:val="0"/>
            <w:vAlign w:val="center"/>
          </w:tcPr>
          <w:p w14:paraId="35C32C70">
            <w:pPr>
              <w:widowControl/>
              <w:spacing w:line="240" w:lineRule="exact"/>
              <w:jc w:val="left"/>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　</w:t>
            </w:r>
            <w:r>
              <w:rPr>
                <w:rFonts w:hint="eastAsia" w:ascii="仿宋_GB2312" w:hAnsi="仿宋_GB2312" w:eastAsia="仿宋_GB2312" w:cs="仿宋_GB2312"/>
                <w:color w:val="000000"/>
                <w:sz w:val="20"/>
                <w:szCs w:val="20"/>
                <w:highlight w:val="none"/>
                <w:lang w:val="en-US" w:eastAsia="zh-CN"/>
              </w:rPr>
              <w:t>10</w:t>
            </w:r>
          </w:p>
        </w:tc>
        <w:tc>
          <w:tcPr>
            <w:tcW w:w="1446" w:type="dxa"/>
            <w:tcBorders>
              <w:top w:val="nil"/>
              <w:left w:val="nil"/>
              <w:bottom w:val="single" w:color="auto" w:sz="4" w:space="0"/>
              <w:right w:val="single" w:color="auto" w:sz="4" w:space="0"/>
            </w:tcBorders>
            <w:noWrap w:val="0"/>
            <w:vAlign w:val="center"/>
          </w:tcPr>
          <w:p w14:paraId="3E24D2FE">
            <w:pPr>
              <w:widowControl/>
              <w:spacing w:line="240" w:lineRule="exact"/>
              <w:jc w:val="left"/>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14:paraId="10A1C497">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14:paraId="77AD8B1E">
            <w:pPr>
              <w:spacing w:line="240" w:lineRule="exact"/>
              <w:jc w:val="left"/>
              <w:rPr>
                <w:rFonts w:hint="eastAsia" w:ascii="仿宋_GB2312" w:hAnsi="仿宋_GB2312" w:eastAsia="仿宋_GB2312" w:cs="仿宋_GB2312"/>
                <w:color w:val="000000"/>
                <w:sz w:val="20"/>
                <w:szCs w:val="20"/>
                <w:highlight w:val="none"/>
              </w:rPr>
            </w:pPr>
          </w:p>
        </w:tc>
        <w:tc>
          <w:tcPr>
            <w:tcW w:w="1080" w:type="dxa"/>
            <w:vMerge w:val="continue"/>
            <w:tcBorders>
              <w:left w:val="nil"/>
              <w:right w:val="single" w:color="auto" w:sz="4" w:space="0"/>
            </w:tcBorders>
            <w:noWrap w:val="0"/>
            <w:vAlign w:val="center"/>
          </w:tcPr>
          <w:p w14:paraId="0A260A62">
            <w:pPr>
              <w:spacing w:line="240" w:lineRule="exact"/>
              <w:jc w:val="left"/>
              <w:rPr>
                <w:rFonts w:hint="eastAsia" w:ascii="仿宋_GB2312" w:hAnsi="仿宋_GB2312" w:eastAsia="仿宋_GB2312" w:cs="仿宋_GB2312"/>
                <w:color w:val="000000"/>
                <w:sz w:val="20"/>
                <w:szCs w:val="20"/>
                <w:highlight w:val="none"/>
              </w:rPr>
            </w:pPr>
          </w:p>
        </w:tc>
        <w:tc>
          <w:tcPr>
            <w:tcW w:w="1034" w:type="dxa"/>
            <w:vMerge w:val="continue"/>
            <w:tcBorders>
              <w:left w:val="nil"/>
              <w:right w:val="single" w:color="auto" w:sz="4" w:space="0"/>
            </w:tcBorders>
            <w:noWrap w:val="0"/>
            <w:vAlign w:val="center"/>
          </w:tcPr>
          <w:p w14:paraId="7E626A98">
            <w:pPr>
              <w:spacing w:line="240" w:lineRule="exact"/>
              <w:jc w:val="center"/>
              <w:rPr>
                <w:rFonts w:hint="eastAsia" w:ascii="仿宋_GB2312" w:hAnsi="仿宋_GB2312" w:eastAsia="仿宋_GB2312" w:cs="仿宋_GB2312"/>
                <w:color w:val="000000"/>
                <w:sz w:val="20"/>
                <w:szCs w:val="20"/>
                <w:highlight w:val="none"/>
              </w:rPr>
            </w:pPr>
          </w:p>
        </w:tc>
        <w:tc>
          <w:tcPr>
            <w:tcW w:w="1270" w:type="dxa"/>
            <w:tcBorders>
              <w:top w:val="nil"/>
              <w:left w:val="nil"/>
              <w:bottom w:val="single" w:color="auto" w:sz="4" w:space="0"/>
              <w:right w:val="single" w:color="auto" w:sz="4" w:space="0"/>
            </w:tcBorders>
            <w:noWrap w:val="0"/>
            <w:vAlign w:val="center"/>
          </w:tcPr>
          <w:p w14:paraId="15CE977D">
            <w:pPr>
              <w:widowControl/>
              <w:spacing w:line="240" w:lineRule="exact"/>
              <w:jc w:val="center"/>
              <w:rPr>
                <w:rFonts w:hint="eastAsia" w:ascii="仿宋_GB2312" w:hAnsi="仿宋_GB2312" w:eastAsia="仿宋_GB2312" w:cs="仿宋_GB2312"/>
                <w:color w:val="000000"/>
                <w:sz w:val="20"/>
                <w:szCs w:val="20"/>
                <w:highlight w:val="none"/>
              </w:rPr>
            </w:pPr>
          </w:p>
        </w:tc>
        <w:tc>
          <w:tcPr>
            <w:tcW w:w="1311" w:type="dxa"/>
            <w:tcBorders>
              <w:top w:val="nil"/>
              <w:left w:val="nil"/>
              <w:bottom w:val="single" w:color="auto" w:sz="4" w:space="0"/>
              <w:right w:val="single" w:color="auto" w:sz="4" w:space="0"/>
            </w:tcBorders>
            <w:noWrap w:val="0"/>
            <w:vAlign w:val="center"/>
          </w:tcPr>
          <w:p w14:paraId="1592E882">
            <w:pPr>
              <w:widowControl/>
              <w:spacing w:line="240" w:lineRule="exact"/>
              <w:jc w:val="left"/>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269" w:type="dxa"/>
            <w:tcBorders>
              <w:top w:val="nil"/>
              <w:left w:val="nil"/>
              <w:bottom w:val="single" w:color="auto" w:sz="4" w:space="0"/>
              <w:right w:val="single" w:color="auto" w:sz="4" w:space="0"/>
            </w:tcBorders>
            <w:noWrap w:val="0"/>
            <w:vAlign w:val="center"/>
          </w:tcPr>
          <w:p w14:paraId="4904DF22">
            <w:pPr>
              <w:widowControl/>
              <w:spacing w:line="240" w:lineRule="exact"/>
              <w:jc w:val="left"/>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716" w:type="dxa"/>
            <w:tcBorders>
              <w:top w:val="nil"/>
              <w:left w:val="nil"/>
              <w:bottom w:val="single" w:color="auto" w:sz="4" w:space="0"/>
              <w:right w:val="single" w:color="auto" w:sz="4" w:space="0"/>
            </w:tcBorders>
            <w:noWrap w:val="0"/>
            <w:vAlign w:val="center"/>
          </w:tcPr>
          <w:p w14:paraId="7E7796C9">
            <w:pPr>
              <w:widowControl/>
              <w:spacing w:line="240" w:lineRule="exact"/>
              <w:jc w:val="left"/>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873" w:type="dxa"/>
            <w:tcBorders>
              <w:top w:val="nil"/>
              <w:left w:val="nil"/>
              <w:bottom w:val="single" w:color="auto" w:sz="4" w:space="0"/>
              <w:right w:val="single" w:color="auto" w:sz="4" w:space="0"/>
            </w:tcBorders>
            <w:noWrap w:val="0"/>
            <w:vAlign w:val="center"/>
          </w:tcPr>
          <w:p w14:paraId="13D963E7">
            <w:pPr>
              <w:widowControl/>
              <w:spacing w:line="240" w:lineRule="exact"/>
              <w:jc w:val="left"/>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446" w:type="dxa"/>
            <w:tcBorders>
              <w:top w:val="nil"/>
              <w:left w:val="nil"/>
              <w:bottom w:val="single" w:color="auto" w:sz="4" w:space="0"/>
              <w:right w:val="single" w:color="auto" w:sz="4" w:space="0"/>
            </w:tcBorders>
            <w:noWrap w:val="0"/>
            <w:vAlign w:val="center"/>
          </w:tcPr>
          <w:p w14:paraId="364863FE">
            <w:pPr>
              <w:widowControl/>
              <w:spacing w:line="240" w:lineRule="exact"/>
              <w:jc w:val="left"/>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14:paraId="512808C0">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14:paraId="6DE50ADA">
            <w:pPr>
              <w:spacing w:line="240" w:lineRule="exact"/>
              <w:jc w:val="left"/>
              <w:rPr>
                <w:rFonts w:hint="eastAsia" w:ascii="仿宋_GB2312" w:hAnsi="仿宋_GB2312" w:eastAsia="仿宋_GB2312" w:cs="仿宋_GB2312"/>
                <w:color w:val="000000"/>
                <w:sz w:val="20"/>
                <w:szCs w:val="20"/>
                <w:highlight w:val="none"/>
              </w:rPr>
            </w:pPr>
          </w:p>
        </w:tc>
        <w:tc>
          <w:tcPr>
            <w:tcW w:w="1080" w:type="dxa"/>
            <w:vMerge w:val="continue"/>
            <w:tcBorders>
              <w:left w:val="nil"/>
              <w:right w:val="single" w:color="auto" w:sz="4" w:space="0"/>
            </w:tcBorders>
            <w:noWrap w:val="0"/>
            <w:vAlign w:val="center"/>
          </w:tcPr>
          <w:p w14:paraId="1512D096">
            <w:pPr>
              <w:spacing w:line="240" w:lineRule="exact"/>
              <w:jc w:val="left"/>
              <w:rPr>
                <w:rFonts w:hint="eastAsia" w:ascii="仿宋_GB2312" w:hAnsi="仿宋_GB2312" w:eastAsia="仿宋_GB2312" w:cs="仿宋_GB2312"/>
                <w:color w:val="000000"/>
                <w:sz w:val="20"/>
                <w:szCs w:val="20"/>
                <w:highlight w:val="none"/>
              </w:rPr>
            </w:pPr>
          </w:p>
        </w:tc>
        <w:tc>
          <w:tcPr>
            <w:tcW w:w="1034" w:type="dxa"/>
            <w:vMerge w:val="continue"/>
            <w:tcBorders>
              <w:left w:val="nil"/>
              <w:bottom w:val="single" w:color="auto" w:sz="4" w:space="0"/>
              <w:right w:val="single" w:color="auto" w:sz="4" w:space="0"/>
            </w:tcBorders>
            <w:noWrap w:val="0"/>
            <w:vAlign w:val="center"/>
          </w:tcPr>
          <w:p w14:paraId="2FB96322">
            <w:pPr>
              <w:widowControl/>
              <w:spacing w:line="240" w:lineRule="exact"/>
              <w:jc w:val="center"/>
              <w:rPr>
                <w:rFonts w:hint="eastAsia" w:ascii="仿宋_GB2312" w:hAnsi="仿宋_GB2312" w:eastAsia="仿宋_GB2312" w:cs="仿宋_GB2312"/>
                <w:color w:val="000000"/>
                <w:sz w:val="20"/>
                <w:szCs w:val="20"/>
                <w:highlight w:val="none"/>
              </w:rPr>
            </w:pPr>
          </w:p>
        </w:tc>
        <w:tc>
          <w:tcPr>
            <w:tcW w:w="1270" w:type="dxa"/>
            <w:tcBorders>
              <w:top w:val="nil"/>
              <w:left w:val="nil"/>
              <w:bottom w:val="single" w:color="auto" w:sz="4" w:space="0"/>
              <w:right w:val="single" w:color="auto" w:sz="4" w:space="0"/>
            </w:tcBorders>
            <w:noWrap w:val="0"/>
            <w:vAlign w:val="center"/>
          </w:tcPr>
          <w:p w14:paraId="0190B314">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w:t>
            </w:r>
          </w:p>
        </w:tc>
        <w:tc>
          <w:tcPr>
            <w:tcW w:w="1311" w:type="dxa"/>
            <w:tcBorders>
              <w:top w:val="nil"/>
              <w:left w:val="nil"/>
              <w:bottom w:val="single" w:color="auto" w:sz="4" w:space="0"/>
              <w:right w:val="single" w:color="auto" w:sz="4" w:space="0"/>
            </w:tcBorders>
            <w:noWrap w:val="0"/>
            <w:vAlign w:val="center"/>
          </w:tcPr>
          <w:p w14:paraId="06E3E0E8">
            <w:pPr>
              <w:widowControl/>
              <w:spacing w:line="240" w:lineRule="exact"/>
              <w:jc w:val="left"/>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269" w:type="dxa"/>
            <w:tcBorders>
              <w:top w:val="nil"/>
              <w:left w:val="nil"/>
              <w:bottom w:val="single" w:color="auto" w:sz="4" w:space="0"/>
              <w:right w:val="single" w:color="auto" w:sz="4" w:space="0"/>
            </w:tcBorders>
            <w:noWrap w:val="0"/>
            <w:vAlign w:val="center"/>
          </w:tcPr>
          <w:p w14:paraId="7F1F143D">
            <w:pPr>
              <w:widowControl/>
              <w:spacing w:line="240" w:lineRule="exact"/>
              <w:jc w:val="left"/>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716" w:type="dxa"/>
            <w:tcBorders>
              <w:top w:val="nil"/>
              <w:left w:val="nil"/>
              <w:bottom w:val="single" w:color="auto" w:sz="4" w:space="0"/>
              <w:right w:val="single" w:color="auto" w:sz="4" w:space="0"/>
            </w:tcBorders>
            <w:noWrap w:val="0"/>
            <w:vAlign w:val="center"/>
          </w:tcPr>
          <w:p w14:paraId="1F5B7B46">
            <w:pPr>
              <w:widowControl/>
              <w:spacing w:line="240" w:lineRule="exact"/>
              <w:jc w:val="left"/>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873" w:type="dxa"/>
            <w:tcBorders>
              <w:top w:val="nil"/>
              <w:left w:val="nil"/>
              <w:bottom w:val="single" w:color="auto" w:sz="4" w:space="0"/>
              <w:right w:val="single" w:color="auto" w:sz="4" w:space="0"/>
            </w:tcBorders>
            <w:noWrap w:val="0"/>
            <w:vAlign w:val="center"/>
          </w:tcPr>
          <w:p w14:paraId="757FAC0A">
            <w:pPr>
              <w:widowControl/>
              <w:spacing w:line="240" w:lineRule="exact"/>
              <w:jc w:val="left"/>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446" w:type="dxa"/>
            <w:tcBorders>
              <w:top w:val="nil"/>
              <w:left w:val="nil"/>
              <w:bottom w:val="single" w:color="auto" w:sz="4" w:space="0"/>
              <w:right w:val="single" w:color="auto" w:sz="4" w:space="0"/>
            </w:tcBorders>
            <w:noWrap w:val="0"/>
            <w:vAlign w:val="center"/>
          </w:tcPr>
          <w:p w14:paraId="1715A3CD">
            <w:pPr>
              <w:widowControl/>
              <w:spacing w:line="240" w:lineRule="exact"/>
              <w:jc w:val="left"/>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14:paraId="0EB29206">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14:paraId="28C872DC">
            <w:pPr>
              <w:spacing w:line="240" w:lineRule="exact"/>
              <w:jc w:val="left"/>
              <w:rPr>
                <w:rFonts w:hint="eastAsia" w:ascii="仿宋_GB2312" w:hAnsi="仿宋_GB2312" w:eastAsia="仿宋_GB2312" w:cs="仿宋_GB2312"/>
                <w:color w:val="000000"/>
                <w:sz w:val="20"/>
                <w:szCs w:val="20"/>
                <w:highlight w:val="none"/>
              </w:rPr>
            </w:pPr>
          </w:p>
        </w:tc>
        <w:tc>
          <w:tcPr>
            <w:tcW w:w="1080" w:type="dxa"/>
            <w:vMerge w:val="continue"/>
            <w:tcBorders>
              <w:left w:val="nil"/>
              <w:right w:val="single" w:color="auto" w:sz="4" w:space="0"/>
            </w:tcBorders>
            <w:noWrap w:val="0"/>
            <w:vAlign w:val="center"/>
          </w:tcPr>
          <w:p w14:paraId="74C00256">
            <w:pPr>
              <w:spacing w:line="240" w:lineRule="exact"/>
              <w:jc w:val="left"/>
              <w:rPr>
                <w:rFonts w:hint="eastAsia" w:ascii="仿宋_GB2312" w:hAnsi="仿宋_GB2312" w:eastAsia="仿宋_GB2312" w:cs="仿宋_GB2312"/>
                <w:color w:val="000000"/>
                <w:sz w:val="20"/>
                <w:szCs w:val="20"/>
                <w:highlight w:val="none"/>
              </w:rPr>
            </w:pPr>
          </w:p>
        </w:tc>
        <w:tc>
          <w:tcPr>
            <w:tcW w:w="1034" w:type="dxa"/>
            <w:vMerge w:val="restart"/>
            <w:tcBorders>
              <w:top w:val="nil"/>
              <w:left w:val="nil"/>
              <w:right w:val="single" w:color="auto" w:sz="4" w:space="0"/>
            </w:tcBorders>
            <w:noWrap w:val="0"/>
            <w:vAlign w:val="center"/>
          </w:tcPr>
          <w:p w14:paraId="79C4BAC7">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成本指标</w:t>
            </w:r>
          </w:p>
        </w:tc>
        <w:tc>
          <w:tcPr>
            <w:tcW w:w="1270" w:type="dxa"/>
            <w:tcBorders>
              <w:top w:val="nil"/>
              <w:left w:val="nil"/>
              <w:bottom w:val="single" w:color="auto" w:sz="4" w:space="0"/>
              <w:right w:val="single" w:color="auto" w:sz="4" w:space="0"/>
            </w:tcBorders>
            <w:noWrap w:val="0"/>
            <w:vAlign w:val="center"/>
          </w:tcPr>
          <w:p w14:paraId="1E89F67A">
            <w:pPr>
              <w:widowControl/>
              <w:spacing w:line="240" w:lineRule="exact"/>
              <w:jc w:val="center"/>
              <w:rPr>
                <w:rFonts w:hint="eastAsia" w:ascii="仿宋" w:hAnsi="仿宋" w:eastAsia="仿宋" w:cs="仿宋"/>
                <w:color w:val="000000"/>
                <w:sz w:val="20"/>
                <w:szCs w:val="20"/>
                <w:highlight w:val="none"/>
              </w:rPr>
            </w:pPr>
            <w:r>
              <w:rPr>
                <w:rFonts w:hint="eastAsia" w:ascii="仿宋" w:hAnsi="仿宋" w:eastAsia="仿宋" w:cs="仿宋"/>
                <w:spacing w:val="0"/>
                <w:sz w:val="20"/>
                <w:szCs w:val="20"/>
                <w:lang w:val="en-US" w:eastAsia="zh-CN"/>
              </w:rPr>
              <w:t>人类嗜T淋巴细胞病毒检测</w:t>
            </w:r>
          </w:p>
        </w:tc>
        <w:tc>
          <w:tcPr>
            <w:tcW w:w="1311" w:type="dxa"/>
            <w:tcBorders>
              <w:top w:val="nil"/>
              <w:left w:val="nil"/>
              <w:bottom w:val="single" w:color="auto" w:sz="4" w:space="0"/>
              <w:right w:val="single" w:color="auto" w:sz="4" w:space="0"/>
            </w:tcBorders>
            <w:noWrap w:val="0"/>
            <w:vAlign w:val="center"/>
          </w:tcPr>
          <w:p w14:paraId="014FA981">
            <w:pPr>
              <w:widowControl/>
              <w:spacing w:line="240" w:lineRule="exact"/>
              <w:jc w:val="left"/>
              <w:rPr>
                <w:rFonts w:hint="eastAsia" w:ascii="仿宋" w:hAnsi="仿宋" w:eastAsia="仿宋" w:cs="仿宋"/>
                <w:color w:val="000000"/>
                <w:sz w:val="20"/>
                <w:szCs w:val="20"/>
                <w:highlight w:val="none"/>
              </w:rPr>
            </w:pPr>
            <w:r>
              <w:rPr>
                <w:rFonts w:hint="eastAsia" w:ascii="仿宋" w:hAnsi="仿宋" w:eastAsia="仿宋" w:cs="仿宋"/>
                <w:color w:val="000000"/>
                <w:sz w:val="20"/>
                <w:szCs w:val="20"/>
                <w:highlight w:val="none"/>
              </w:rPr>
              <w:t>　</w:t>
            </w:r>
            <w:r>
              <w:rPr>
                <w:rFonts w:hint="eastAsia" w:ascii="仿宋" w:hAnsi="仿宋" w:eastAsia="仿宋" w:cs="仿宋"/>
                <w:spacing w:val="0"/>
                <w:sz w:val="20"/>
                <w:szCs w:val="20"/>
                <w:lang w:val="en-US" w:eastAsia="zh-CN"/>
              </w:rPr>
              <w:t>6元/人份</w:t>
            </w:r>
          </w:p>
        </w:tc>
        <w:tc>
          <w:tcPr>
            <w:tcW w:w="1269" w:type="dxa"/>
            <w:tcBorders>
              <w:top w:val="nil"/>
              <w:left w:val="nil"/>
              <w:bottom w:val="single" w:color="auto" w:sz="4" w:space="0"/>
              <w:right w:val="single" w:color="auto" w:sz="4" w:space="0"/>
            </w:tcBorders>
            <w:noWrap w:val="0"/>
            <w:vAlign w:val="center"/>
          </w:tcPr>
          <w:p w14:paraId="3F6D5873">
            <w:pPr>
              <w:widowControl/>
              <w:spacing w:line="240" w:lineRule="exact"/>
              <w:jc w:val="left"/>
              <w:rPr>
                <w:rFonts w:hint="eastAsia" w:ascii="仿宋" w:hAnsi="仿宋" w:eastAsia="仿宋" w:cs="仿宋"/>
                <w:color w:val="000000"/>
                <w:sz w:val="20"/>
                <w:szCs w:val="20"/>
                <w:highlight w:val="none"/>
              </w:rPr>
            </w:pPr>
            <w:r>
              <w:rPr>
                <w:rFonts w:hint="eastAsia" w:ascii="仿宋" w:hAnsi="仿宋" w:eastAsia="仿宋" w:cs="仿宋"/>
                <w:color w:val="000000"/>
                <w:sz w:val="20"/>
                <w:szCs w:val="20"/>
                <w:highlight w:val="none"/>
              </w:rPr>
              <w:t>　</w:t>
            </w:r>
            <w:r>
              <w:rPr>
                <w:rFonts w:hint="eastAsia" w:ascii="仿宋" w:hAnsi="仿宋" w:eastAsia="仿宋" w:cs="仿宋"/>
                <w:spacing w:val="0"/>
                <w:sz w:val="20"/>
                <w:szCs w:val="20"/>
                <w:lang w:val="en-US" w:eastAsia="zh-CN"/>
              </w:rPr>
              <w:t>6元/人份</w:t>
            </w:r>
          </w:p>
        </w:tc>
        <w:tc>
          <w:tcPr>
            <w:tcW w:w="716" w:type="dxa"/>
            <w:tcBorders>
              <w:top w:val="nil"/>
              <w:left w:val="nil"/>
              <w:bottom w:val="single" w:color="auto" w:sz="4" w:space="0"/>
              <w:right w:val="single" w:color="auto" w:sz="4" w:space="0"/>
            </w:tcBorders>
            <w:noWrap w:val="0"/>
            <w:vAlign w:val="center"/>
          </w:tcPr>
          <w:p w14:paraId="1C2DA827">
            <w:pPr>
              <w:widowControl/>
              <w:spacing w:line="240" w:lineRule="exact"/>
              <w:jc w:val="left"/>
              <w:rPr>
                <w:rFonts w:hint="eastAsia" w:ascii="仿宋" w:hAnsi="仿宋" w:eastAsia="仿宋" w:cs="仿宋"/>
                <w:color w:val="000000"/>
                <w:sz w:val="20"/>
                <w:szCs w:val="20"/>
                <w:highlight w:val="none"/>
                <w:lang w:val="en-US" w:eastAsia="zh-CN"/>
              </w:rPr>
            </w:pPr>
            <w:r>
              <w:rPr>
                <w:rFonts w:hint="eastAsia" w:ascii="仿宋" w:hAnsi="仿宋" w:eastAsia="仿宋" w:cs="仿宋"/>
                <w:color w:val="000000"/>
                <w:sz w:val="20"/>
                <w:szCs w:val="20"/>
                <w:highlight w:val="none"/>
              </w:rPr>
              <w:t>　</w:t>
            </w:r>
            <w:r>
              <w:rPr>
                <w:rFonts w:hint="eastAsia" w:ascii="仿宋" w:hAnsi="仿宋" w:eastAsia="仿宋" w:cs="仿宋"/>
                <w:color w:val="000000"/>
                <w:sz w:val="20"/>
                <w:szCs w:val="20"/>
                <w:highlight w:val="none"/>
                <w:lang w:val="en-US" w:eastAsia="zh-CN"/>
              </w:rPr>
              <w:t>10</w:t>
            </w:r>
          </w:p>
        </w:tc>
        <w:tc>
          <w:tcPr>
            <w:tcW w:w="873" w:type="dxa"/>
            <w:tcBorders>
              <w:top w:val="nil"/>
              <w:left w:val="nil"/>
              <w:bottom w:val="single" w:color="auto" w:sz="4" w:space="0"/>
              <w:right w:val="single" w:color="auto" w:sz="4" w:space="0"/>
            </w:tcBorders>
            <w:noWrap w:val="0"/>
            <w:vAlign w:val="center"/>
          </w:tcPr>
          <w:p w14:paraId="7FC76637">
            <w:pPr>
              <w:widowControl/>
              <w:spacing w:line="240" w:lineRule="exact"/>
              <w:jc w:val="left"/>
              <w:rPr>
                <w:rFonts w:hint="eastAsia" w:ascii="仿宋" w:hAnsi="仿宋" w:eastAsia="仿宋" w:cs="仿宋"/>
                <w:color w:val="000000"/>
                <w:sz w:val="20"/>
                <w:szCs w:val="20"/>
                <w:highlight w:val="none"/>
                <w:lang w:val="en-US" w:eastAsia="zh-CN"/>
              </w:rPr>
            </w:pPr>
            <w:r>
              <w:rPr>
                <w:rFonts w:hint="eastAsia" w:ascii="仿宋" w:hAnsi="仿宋" w:eastAsia="仿宋" w:cs="仿宋"/>
                <w:color w:val="000000"/>
                <w:sz w:val="20"/>
                <w:szCs w:val="20"/>
                <w:highlight w:val="none"/>
              </w:rPr>
              <w:t>　</w:t>
            </w:r>
            <w:r>
              <w:rPr>
                <w:rFonts w:hint="eastAsia" w:ascii="仿宋" w:hAnsi="仿宋" w:eastAsia="仿宋" w:cs="仿宋"/>
                <w:color w:val="000000"/>
                <w:sz w:val="20"/>
                <w:szCs w:val="20"/>
                <w:highlight w:val="none"/>
                <w:lang w:val="en-US" w:eastAsia="zh-CN"/>
              </w:rPr>
              <w:t>10</w:t>
            </w:r>
          </w:p>
        </w:tc>
        <w:tc>
          <w:tcPr>
            <w:tcW w:w="1446" w:type="dxa"/>
            <w:tcBorders>
              <w:top w:val="nil"/>
              <w:left w:val="nil"/>
              <w:bottom w:val="single" w:color="auto" w:sz="4" w:space="0"/>
              <w:right w:val="single" w:color="auto" w:sz="4" w:space="0"/>
            </w:tcBorders>
            <w:noWrap w:val="0"/>
            <w:vAlign w:val="center"/>
          </w:tcPr>
          <w:p w14:paraId="174C5E10">
            <w:pPr>
              <w:widowControl/>
              <w:spacing w:line="240" w:lineRule="exact"/>
              <w:jc w:val="left"/>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14:paraId="4CAAAC56">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14:paraId="69BB7793">
            <w:pPr>
              <w:spacing w:line="240" w:lineRule="exact"/>
              <w:jc w:val="left"/>
              <w:rPr>
                <w:rFonts w:hint="eastAsia" w:ascii="仿宋_GB2312" w:hAnsi="仿宋_GB2312" w:eastAsia="仿宋_GB2312" w:cs="仿宋_GB2312"/>
                <w:color w:val="000000"/>
                <w:sz w:val="20"/>
                <w:szCs w:val="20"/>
                <w:highlight w:val="none"/>
              </w:rPr>
            </w:pPr>
          </w:p>
        </w:tc>
        <w:tc>
          <w:tcPr>
            <w:tcW w:w="1080" w:type="dxa"/>
            <w:vMerge w:val="continue"/>
            <w:tcBorders>
              <w:left w:val="nil"/>
              <w:right w:val="single" w:color="auto" w:sz="4" w:space="0"/>
            </w:tcBorders>
            <w:noWrap w:val="0"/>
            <w:vAlign w:val="center"/>
          </w:tcPr>
          <w:p w14:paraId="4376B77A">
            <w:pPr>
              <w:spacing w:line="240" w:lineRule="exact"/>
              <w:jc w:val="left"/>
              <w:rPr>
                <w:rFonts w:hint="eastAsia" w:ascii="仿宋_GB2312" w:hAnsi="仿宋_GB2312" w:eastAsia="仿宋_GB2312" w:cs="仿宋_GB2312"/>
                <w:color w:val="000000"/>
                <w:sz w:val="20"/>
                <w:szCs w:val="20"/>
                <w:highlight w:val="none"/>
              </w:rPr>
            </w:pPr>
          </w:p>
        </w:tc>
        <w:tc>
          <w:tcPr>
            <w:tcW w:w="1034" w:type="dxa"/>
            <w:vMerge w:val="continue"/>
            <w:tcBorders>
              <w:left w:val="nil"/>
              <w:right w:val="single" w:color="auto" w:sz="4" w:space="0"/>
            </w:tcBorders>
            <w:noWrap w:val="0"/>
            <w:vAlign w:val="center"/>
          </w:tcPr>
          <w:p w14:paraId="153B7A60">
            <w:pPr>
              <w:spacing w:line="240" w:lineRule="exact"/>
              <w:jc w:val="left"/>
              <w:rPr>
                <w:rFonts w:hint="eastAsia" w:ascii="仿宋_GB2312" w:hAnsi="仿宋_GB2312" w:eastAsia="仿宋_GB2312" w:cs="仿宋_GB2312"/>
                <w:color w:val="000000"/>
                <w:sz w:val="20"/>
                <w:szCs w:val="20"/>
                <w:highlight w:val="none"/>
              </w:rPr>
            </w:pPr>
          </w:p>
        </w:tc>
        <w:tc>
          <w:tcPr>
            <w:tcW w:w="1270" w:type="dxa"/>
            <w:tcBorders>
              <w:top w:val="nil"/>
              <w:left w:val="nil"/>
              <w:bottom w:val="single" w:color="auto" w:sz="4" w:space="0"/>
              <w:right w:val="single" w:color="auto" w:sz="4" w:space="0"/>
            </w:tcBorders>
            <w:noWrap w:val="0"/>
            <w:vAlign w:val="center"/>
          </w:tcPr>
          <w:p w14:paraId="716353A8">
            <w:pPr>
              <w:widowControl/>
              <w:spacing w:line="240" w:lineRule="exact"/>
              <w:jc w:val="center"/>
              <w:rPr>
                <w:rFonts w:hint="eastAsia" w:ascii="仿宋" w:hAnsi="仿宋" w:eastAsia="仿宋" w:cs="仿宋"/>
                <w:color w:val="000000"/>
                <w:sz w:val="20"/>
                <w:szCs w:val="20"/>
                <w:highlight w:val="none"/>
              </w:rPr>
            </w:pPr>
          </w:p>
        </w:tc>
        <w:tc>
          <w:tcPr>
            <w:tcW w:w="1311" w:type="dxa"/>
            <w:tcBorders>
              <w:top w:val="nil"/>
              <w:left w:val="nil"/>
              <w:bottom w:val="single" w:color="auto" w:sz="4" w:space="0"/>
              <w:right w:val="single" w:color="auto" w:sz="4" w:space="0"/>
            </w:tcBorders>
            <w:noWrap w:val="0"/>
            <w:vAlign w:val="center"/>
          </w:tcPr>
          <w:p w14:paraId="5664FB2A">
            <w:pPr>
              <w:widowControl/>
              <w:spacing w:line="240" w:lineRule="exact"/>
              <w:jc w:val="left"/>
              <w:rPr>
                <w:rFonts w:hint="eastAsia" w:ascii="仿宋" w:hAnsi="仿宋" w:eastAsia="仿宋" w:cs="仿宋"/>
                <w:color w:val="000000"/>
                <w:sz w:val="20"/>
                <w:szCs w:val="20"/>
                <w:highlight w:val="none"/>
              </w:rPr>
            </w:pPr>
            <w:r>
              <w:rPr>
                <w:rFonts w:hint="eastAsia" w:ascii="仿宋" w:hAnsi="仿宋" w:eastAsia="仿宋" w:cs="仿宋"/>
                <w:color w:val="000000"/>
                <w:sz w:val="20"/>
                <w:szCs w:val="20"/>
                <w:highlight w:val="none"/>
              </w:rPr>
              <w:t>　</w:t>
            </w:r>
          </w:p>
        </w:tc>
        <w:tc>
          <w:tcPr>
            <w:tcW w:w="1269" w:type="dxa"/>
            <w:tcBorders>
              <w:top w:val="nil"/>
              <w:left w:val="nil"/>
              <w:bottom w:val="single" w:color="auto" w:sz="4" w:space="0"/>
              <w:right w:val="single" w:color="auto" w:sz="4" w:space="0"/>
            </w:tcBorders>
            <w:noWrap w:val="0"/>
            <w:vAlign w:val="center"/>
          </w:tcPr>
          <w:p w14:paraId="7E01B4AB">
            <w:pPr>
              <w:widowControl/>
              <w:spacing w:line="240" w:lineRule="exact"/>
              <w:jc w:val="left"/>
              <w:rPr>
                <w:rFonts w:hint="eastAsia" w:ascii="仿宋" w:hAnsi="仿宋" w:eastAsia="仿宋" w:cs="仿宋"/>
                <w:color w:val="000000"/>
                <w:sz w:val="20"/>
                <w:szCs w:val="20"/>
                <w:highlight w:val="none"/>
              </w:rPr>
            </w:pPr>
            <w:r>
              <w:rPr>
                <w:rFonts w:hint="eastAsia" w:ascii="仿宋" w:hAnsi="仿宋" w:eastAsia="仿宋" w:cs="仿宋"/>
                <w:color w:val="000000"/>
                <w:sz w:val="20"/>
                <w:szCs w:val="20"/>
                <w:highlight w:val="none"/>
              </w:rPr>
              <w:t>　</w:t>
            </w:r>
          </w:p>
        </w:tc>
        <w:tc>
          <w:tcPr>
            <w:tcW w:w="716" w:type="dxa"/>
            <w:tcBorders>
              <w:top w:val="nil"/>
              <w:left w:val="nil"/>
              <w:bottom w:val="single" w:color="auto" w:sz="4" w:space="0"/>
              <w:right w:val="single" w:color="auto" w:sz="4" w:space="0"/>
            </w:tcBorders>
            <w:noWrap w:val="0"/>
            <w:vAlign w:val="center"/>
          </w:tcPr>
          <w:p w14:paraId="577C49B5">
            <w:pPr>
              <w:widowControl/>
              <w:spacing w:line="240" w:lineRule="exact"/>
              <w:jc w:val="left"/>
              <w:rPr>
                <w:rFonts w:hint="eastAsia" w:ascii="仿宋" w:hAnsi="仿宋" w:eastAsia="仿宋" w:cs="仿宋"/>
                <w:color w:val="000000"/>
                <w:sz w:val="20"/>
                <w:szCs w:val="20"/>
                <w:highlight w:val="none"/>
              </w:rPr>
            </w:pPr>
            <w:r>
              <w:rPr>
                <w:rFonts w:hint="eastAsia" w:ascii="仿宋" w:hAnsi="仿宋" w:eastAsia="仿宋" w:cs="仿宋"/>
                <w:color w:val="000000"/>
                <w:sz w:val="20"/>
                <w:szCs w:val="20"/>
                <w:highlight w:val="none"/>
              </w:rPr>
              <w:t>　</w:t>
            </w:r>
          </w:p>
        </w:tc>
        <w:tc>
          <w:tcPr>
            <w:tcW w:w="873" w:type="dxa"/>
            <w:tcBorders>
              <w:top w:val="nil"/>
              <w:left w:val="nil"/>
              <w:bottom w:val="single" w:color="auto" w:sz="4" w:space="0"/>
              <w:right w:val="single" w:color="auto" w:sz="4" w:space="0"/>
            </w:tcBorders>
            <w:noWrap w:val="0"/>
            <w:vAlign w:val="center"/>
          </w:tcPr>
          <w:p w14:paraId="5C6B0319">
            <w:pPr>
              <w:widowControl/>
              <w:spacing w:line="240" w:lineRule="exact"/>
              <w:jc w:val="left"/>
              <w:rPr>
                <w:rFonts w:hint="eastAsia" w:ascii="仿宋" w:hAnsi="仿宋" w:eastAsia="仿宋" w:cs="仿宋"/>
                <w:color w:val="000000"/>
                <w:sz w:val="20"/>
                <w:szCs w:val="20"/>
                <w:highlight w:val="none"/>
              </w:rPr>
            </w:pPr>
            <w:r>
              <w:rPr>
                <w:rFonts w:hint="eastAsia" w:ascii="仿宋" w:hAnsi="仿宋" w:eastAsia="仿宋" w:cs="仿宋"/>
                <w:color w:val="000000"/>
                <w:sz w:val="20"/>
                <w:szCs w:val="20"/>
                <w:highlight w:val="none"/>
              </w:rPr>
              <w:t>　</w:t>
            </w:r>
          </w:p>
        </w:tc>
        <w:tc>
          <w:tcPr>
            <w:tcW w:w="1446" w:type="dxa"/>
            <w:tcBorders>
              <w:top w:val="nil"/>
              <w:left w:val="nil"/>
              <w:bottom w:val="single" w:color="auto" w:sz="4" w:space="0"/>
              <w:right w:val="single" w:color="auto" w:sz="4" w:space="0"/>
            </w:tcBorders>
            <w:noWrap w:val="0"/>
            <w:vAlign w:val="center"/>
          </w:tcPr>
          <w:p w14:paraId="15A16777">
            <w:pPr>
              <w:widowControl/>
              <w:spacing w:line="240" w:lineRule="exact"/>
              <w:jc w:val="left"/>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14:paraId="383931E8">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14:paraId="73F1CD8B">
            <w:pPr>
              <w:spacing w:line="240" w:lineRule="exact"/>
              <w:jc w:val="left"/>
              <w:rPr>
                <w:rFonts w:hint="eastAsia" w:ascii="仿宋_GB2312" w:hAnsi="仿宋_GB2312" w:eastAsia="仿宋_GB2312" w:cs="仿宋_GB2312"/>
                <w:color w:val="000000"/>
                <w:sz w:val="20"/>
                <w:szCs w:val="20"/>
                <w:highlight w:val="none"/>
              </w:rPr>
            </w:pPr>
          </w:p>
        </w:tc>
        <w:tc>
          <w:tcPr>
            <w:tcW w:w="1080" w:type="dxa"/>
            <w:vMerge w:val="continue"/>
            <w:tcBorders>
              <w:left w:val="nil"/>
              <w:bottom w:val="single" w:color="auto" w:sz="4" w:space="0"/>
              <w:right w:val="single" w:color="auto" w:sz="4" w:space="0"/>
            </w:tcBorders>
            <w:noWrap w:val="0"/>
            <w:vAlign w:val="center"/>
          </w:tcPr>
          <w:p w14:paraId="23BC58B2">
            <w:pPr>
              <w:widowControl/>
              <w:spacing w:line="240" w:lineRule="exact"/>
              <w:jc w:val="left"/>
              <w:rPr>
                <w:rFonts w:hint="eastAsia" w:ascii="仿宋_GB2312" w:hAnsi="仿宋_GB2312" w:eastAsia="仿宋_GB2312" w:cs="仿宋_GB2312"/>
                <w:color w:val="000000"/>
                <w:sz w:val="20"/>
                <w:szCs w:val="20"/>
                <w:highlight w:val="none"/>
              </w:rPr>
            </w:pPr>
          </w:p>
        </w:tc>
        <w:tc>
          <w:tcPr>
            <w:tcW w:w="1034" w:type="dxa"/>
            <w:vMerge w:val="continue"/>
            <w:tcBorders>
              <w:left w:val="nil"/>
              <w:bottom w:val="single" w:color="auto" w:sz="4" w:space="0"/>
              <w:right w:val="single" w:color="auto" w:sz="4" w:space="0"/>
            </w:tcBorders>
            <w:noWrap w:val="0"/>
            <w:vAlign w:val="center"/>
          </w:tcPr>
          <w:p w14:paraId="54ACE121">
            <w:pPr>
              <w:widowControl/>
              <w:spacing w:line="240" w:lineRule="exact"/>
              <w:jc w:val="left"/>
              <w:rPr>
                <w:rFonts w:hint="eastAsia" w:ascii="仿宋_GB2312" w:hAnsi="仿宋_GB2312" w:eastAsia="仿宋_GB2312" w:cs="仿宋_GB2312"/>
                <w:color w:val="000000"/>
                <w:sz w:val="20"/>
                <w:szCs w:val="20"/>
                <w:highlight w:val="none"/>
              </w:rPr>
            </w:pPr>
          </w:p>
        </w:tc>
        <w:tc>
          <w:tcPr>
            <w:tcW w:w="1270" w:type="dxa"/>
            <w:tcBorders>
              <w:top w:val="nil"/>
              <w:left w:val="nil"/>
              <w:bottom w:val="single" w:color="auto" w:sz="4" w:space="0"/>
              <w:right w:val="single" w:color="auto" w:sz="4" w:space="0"/>
            </w:tcBorders>
            <w:noWrap w:val="0"/>
            <w:vAlign w:val="center"/>
          </w:tcPr>
          <w:p w14:paraId="5D27E8AD">
            <w:pPr>
              <w:widowControl/>
              <w:spacing w:line="240" w:lineRule="exact"/>
              <w:jc w:val="center"/>
              <w:rPr>
                <w:rFonts w:hint="eastAsia" w:ascii="仿宋" w:hAnsi="仿宋" w:eastAsia="仿宋" w:cs="仿宋"/>
                <w:color w:val="000000"/>
                <w:sz w:val="20"/>
                <w:szCs w:val="20"/>
                <w:highlight w:val="none"/>
              </w:rPr>
            </w:pPr>
            <w:r>
              <w:rPr>
                <w:rFonts w:hint="eastAsia" w:ascii="仿宋" w:hAnsi="仿宋" w:eastAsia="仿宋" w:cs="仿宋"/>
                <w:color w:val="000000"/>
                <w:sz w:val="20"/>
                <w:szCs w:val="20"/>
                <w:highlight w:val="none"/>
              </w:rPr>
              <w:t>……</w:t>
            </w:r>
          </w:p>
        </w:tc>
        <w:tc>
          <w:tcPr>
            <w:tcW w:w="1311" w:type="dxa"/>
            <w:tcBorders>
              <w:top w:val="nil"/>
              <w:left w:val="nil"/>
              <w:bottom w:val="single" w:color="auto" w:sz="4" w:space="0"/>
              <w:right w:val="single" w:color="auto" w:sz="4" w:space="0"/>
            </w:tcBorders>
            <w:noWrap w:val="0"/>
            <w:vAlign w:val="center"/>
          </w:tcPr>
          <w:p w14:paraId="151B528A">
            <w:pPr>
              <w:widowControl/>
              <w:spacing w:line="240" w:lineRule="exact"/>
              <w:jc w:val="left"/>
              <w:rPr>
                <w:rFonts w:hint="eastAsia" w:ascii="仿宋" w:hAnsi="仿宋" w:eastAsia="仿宋" w:cs="仿宋"/>
                <w:color w:val="000000"/>
                <w:sz w:val="20"/>
                <w:szCs w:val="20"/>
                <w:highlight w:val="none"/>
              </w:rPr>
            </w:pPr>
            <w:r>
              <w:rPr>
                <w:rFonts w:hint="eastAsia" w:ascii="仿宋" w:hAnsi="仿宋" w:eastAsia="仿宋" w:cs="仿宋"/>
                <w:color w:val="000000"/>
                <w:sz w:val="20"/>
                <w:szCs w:val="20"/>
                <w:highlight w:val="none"/>
              </w:rPr>
              <w:t>　</w:t>
            </w:r>
          </w:p>
        </w:tc>
        <w:tc>
          <w:tcPr>
            <w:tcW w:w="1269" w:type="dxa"/>
            <w:tcBorders>
              <w:top w:val="nil"/>
              <w:left w:val="nil"/>
              <w:bottom w:val="single" w:color="auto" w:sz="4" w:space="0"/>
              <w:right w:val="single" w:color="auto" w:sz="4" w:space="0"/>
            </w:tcBorders>
            <w:noWrap w:val="0"/>
            <w:vAlign w:val="center"/>
          </w:tcPr>
          <w:p w14:paraId="6431A34C">
            <w:pPr>
              <w:widowControl/>
              <w:spacing w:line="240" w:lineRule="exact"/>
              <w:jc w:val="left"/>
              <w:rPr>
                <w:rFonts w:hint="eastAsia" w:ascii="仿宋" w:hAnsi="仿宋" w:eastAsia="仿宋" w:cs="仿宋"/>
                <w:color w:val="000000"/>
                <w:sz w:val="20"/>
                <w:szCs w:val="20"/>
                <w:highlight w:val="none"/>
              </w:rPr>
            </w:pPr>
            <w:r>
              <w:rPr>
                <w:rFonts w:hint="eastAsia" w:ascii="仿宋" w:hAnsi="仿宋" w:eastAsia="仿宋" w:cs="仿宋"/>
                <w:color w:val="000000"/>
                <w:sz w:val="20"/>
                <w:szCs w:val="20"/>
                <w:highlight w:val="none"/>
              </w:rPr>
              <w:t>　</w:t>
            </w:r>
          </w:p>
        </w:tc>
        <w:tc>
          <w:tcPr>
            <w:tcW w:w="716" w:type="dxa"/>
            <w:tcBorders>
              <w:top w:val="nil"/>
              <w:left w:val="nil"/>
              <w:bottom w:val="single" w:color="auto" w:sz="4" w:space="0"/>
              <w:right w:val="single" w:color="auto" w:sz="4" w:space="0"/>
            </w:tcBorders>
            <w:noWrap w:val="0"/>
            <w:vAlign w:val="center"/>
          </w:tcPr>
          <w:p w14:paraId="4C5AE249">
            <w:pPr>
              <w:widowControl/>
              <w:spacing w:line="240" w:lineRule="exact"/>
              <w:jc w:val="left"/>
              <w:rPr>
                <w:rFonts w:hint="eastAsia" w:ascii="仿宋" w:hAnsi="仿宋" w:eastAsia="仿宋" w:cs="仿宋"/>
                <w:color w:val="000000"/>
                <w:sz w:val="20"/>
                <w:szCs w:val="20"/>
                <w:highlight w:val="none"/>
              </w:rPr>
            </w:pPr>
            <w:r>
              <w:rPr>
                <w:rFonts w:hint="eastAsia" w:ascii="仿宋" w:hAnsi="仿宋" w:eastAsia="仿宋" w:cs="仿宋"/>
                <w:color w:val="000000"/>
                <w:sz w:val="20"/>
                <w:szCs w:val="20"/>
                <w:highlight w:val="none"/>
              </w:rPr>
              <w:t>　</w:t>
            </w:r>
          </w:p>
        </w:tc>
        <w:tc>
          <w:tcPr>
            <w:tcW w:w="873" w:type="dxa"/>
            <w:tcBorders>
              <w:top w:val="nil"/>
              <w:left w:val="nil"/>
              <w:bottom w:val="single" w:color="auto" w:sz="4" w:space="0"/>
              <w:right w:val="single" w:color="auto" w:sz="4" w:space="0"/>
            </w:tcBorders>
            <w:noWrap w:val="0"/>
            <w:vAlign w:val="center"/>
          </w:tcPr>
          <w:p w14:paraId="39552F53">
            <w:pPr>
              <w:widowControl/>
              <w:spacing w:line="240" w:lineRule="exact"/>
              <w:jc w:val="left"/>
              <w:rPr>
                <w:rFonts w:hint="eastAsia" w:ascii="仿宋" w:hAnsi="仿宋" w:eastAsia="仿宋" w:cs="仿宋"/>
                <w:color w:val="000000"/>
                <w:sz w:val="20"/>
                <w:szCs w:val="20"/>
                <w:highlight w:val="none"/>
              </w:rPr>
            </w:pPr>
            <w:r>
              <w:rPr>
                <w:rFonts w:hint="eastAsia" w:ascii="仿宋" w:hAnsi="仿宋" w:eastAsia="仿宋" w:cs="仿宋"/>
                <w:color w:val="000000"/>
                <w:sz w:val="20"/>
                <w:szCs w:val="20"/>
                <w:highlight w:val="none"/>
              </w:rPr>
              <w:t>　</w:t>
            </w:r>
          </w:p>
        </w:tc>
        <w:tc>
          <w:tcPr>
            <w:tcW w:w="1446" w:type="dxa"/>
            <w:tcBorders>
              <w:top w:val="nil"/>
              <w:left w:val="nil"/>
              <w:bottom w:val="single" w:color="auto" w:sz="4" w:space="0"/>
              <w:right w:val="single" w:color="auto" w:sz="4" w:space="0"/>
            </w:tcBorders>
            <w:noWrap w:val="0"/>
            <w:vAlign w:val="center"/>
          </w:tcPr>
          <w:p w14:paraId="023827FB">
            <w:pPr>
              <w:widowControl/>
              <w:spacing w:line="240" w:lineRule="exact"/>
              <w:jc w:val="left"/>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14:paraId="0F350C28">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14:paraId="3974C5D5">
            <w:pPr>
              <w:spacing w:line="240" w:lineRule="exact"/>
              <w:jc w:val="left"/>
              <w:rPr>
                <w:rFonts w:hint="eastAsia" w:ascii="仿宋_GB2312" w:hAnsi="仿宋_GB2312" w:eastAsia="仿宋_GB2312" w:cs="仿宋_GB2312"/>
                <w:color w:val="000000"/>
                <w:sz w:val="20"/>
                <w:szCs w:val="20"/>
                <w:highlight w:val="none"/>
              </w:rPr>
            </w:pPr>
          </w:p>
        </w:tc>
        <w:tc>
          <w:tcPr>
            <w:tcW w:w="1080" w:type="dxa"/>
            <w:vMerge w:val="restart"/>
            <w:tcBorders>
              <w:top w:val="nil"/>
              <w:left w:val="nil"/>
              <w:right w:val="single" w:color="auto" w:sz="4" w:space="0"/>
            </w:tcBorders>
            <w:noWrap w:val="0"/>
            <w:vAlign w:val="center"/>
          </w:tcPr>
          <w:p w14:paraId="38DD5714">
            <w:pPr>
              <w:widowControl/>
              <w:spacing w:line="240" w:lineRule="exact"/>
              <w:jc w:val="left"/>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效益指标</w:t>
            </w:r>
          </w:p>
          <w:p w14:paraId="4C1A0724">
            <w:pPr>
              <w:widowControl/>
              <w:spacing w:line="240" w:lineRule="exact"/>
              <w:jc w:val="left"/>
              <w:rPr>
                <w:rFonts w:hint="eastAsia" w:ascii="仿宋_GB2312" w:hAnsi="仿宋_GB2312" w:eastAsia="仿宋_GB2312" w:cs="仿宋_GB2312"/>
                <w:color w:val="000000"/>
                <w:sz w:val="20"/>
                <w:szCs w:val="20"/>
                <w:highlight w:val="none"/>
              </w:rPr>
            </w:pPr>
          </w:p>
          <w:p w14:paraId="6CA518E5">
            <w:pPr>
              <w:widowControl/>
              <w:spacing w:line="240" w:lineRule="exact"/>
              <w:jc w:val="left"/>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（30分）</w:t>
            </w:r>
          </w:p>
          <w:p w14:paraId="08163805">
            <w:pPr>
              <w:widowControl/>
              <w:spacing w:line="240" w:lineRule="exact"/>
              <w:jc w:val="left"/>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034" w:type="dxa"/>
            <w:vMerge w:val="restart"/>
            <w:tcBorders>
              <w:top w:val="nil"/>
              <w:left w:val="nil"/>
              <w:right w:val="single" w:color="auto" w:sz="4" w:space="0"/>
            </w:tcBorders>
            <w:noWrap w:val="0"/>
            <w:vAlign w:val="center"/>
          </w:tcPr>
          <w:p w14:paraId="64689102">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经济效</w:t>
            </w:r>
          </w:p>
          <w:p w14:paraId="5F05336D">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益指标</w:t>
            </w:r>
          </w:p>
        </w:tc>
        <w:tc>
          <w:tcPr>
            <w:tcW w:w="1270" w:type="dxa"/>
            <w:tcBorders>
              <w:top w:val="nil"/>
              <w:left w:val="nil"/>
              <w:bottom w:val="single" w:color="auto" w:sz="4" w:space="0"/>
              <w:right w:val="single" w:color="auto" w:sz="4" w:space="0"/>
            </w:tcBorders>
            <w:noWrap w:val="0"/>
            <w:vAlign w:val="center"/>
          </w:tcPr>
          <w:p w14:paraId="6A98923C">
            <w:pPr>
              <w:widowControl/>
              <w:spacing w:line="240" w:lineRule="exact"/>
              <w:jc w:val="center"/>
              <w:rPr>
                <w:rFonts w:hint="eastAsia" w:ascii="仿宋" w:hAnsi="仿宋" w:eastAsia="仿宋" w:cs="仿宋"/>
                <w:color w:val="000000"/>
                <w:sz w:val="20"/>
                <w:szCs w:val="20"/>
                <w:highlight w:val="none"/>
                <w:lang w:val="en-US" w:eastAsia="zh-CN"/>
              </w:rPr>
            </w:pPr>
            <w:r>
              <w:rPr>
                <w:rFonts w:hint="eastAsia" w:ascii="仿宋" w:hAnsi="仿宋" w:eastAsia="仿宋" w:cs="仿宋"/>
                <w:color w:val="000000"/>
                <w:sz w:val="20"/>
                <w:szCs w:val="20"/>
                <w:highlight w:val="none"/>
                <w:lang w:val="en-US" w:eastAsia="zh-CN"/>
              </w:rPr>
              <w:t>改善人群生活环境</w:t>
            </w:r>
          </w:p>
        </w:tc>
        <w:tc>
          <w:tcPr>
            <w:tcW w:w="1311" w:type="dxa"/>
            <w:tcBorders>
              <w:top w:val="nil"/>
              <w:left w:val="nil"/>
              <w:bottom w:val="single" w:color="auto" w:sz="4" w:space="0"/>
              <w:right w:val="single" w:color="auto" w:sz="4" w:space="0"/>
            </w:tcBorders>
            <w:noWrap w:val="0"/>
            <w:vAlign w:val="center"/>
          </w:tcPr>
          <w:p w14:paraId="76508517">
            <w:pPr>
              <w:widowControl/>
              <w:spacing w:line="240" w:lineRule="exact"/>
              <w:jc w:val="left"/>
              <w:rPr>
                <w:rFonts w:hint="eastAsia" w:ascii="仿宋" w:hAnsi="仿宋" w:eastAsia="仿宋" w:cs="仿宋"/>
                <w:color w:val="000000"/>
                <w:sz w:val="20"/>
                <w:szCs w:val="20"/>
                <w:highlight w:val="none"/>
                <w:lang w:val="en-US" w:eastAsia="zh-CN"/>
              </w:rPr>
            </w:pPr>
            <w:r>
              <w:rPr>
                <w:rFonts w:hint="eastAsia" w:ascii="仿宋" w:hAnsi="仿宋" w:eastAsia="仿宋" w:cs="仿宋"/>
                <w:color w:val="000000"/>
                <w:sz w:val="20"/>
                <w:szCs w:val="20"/>
                <w:highlight w:val="none"/>
              </w:rPr>
              <w:t>　</w:t>
            </w:r>
            <w:r>
              <w:rPr>
                <w:rFonts w:hint="eastAsia" w:ascii="仿宋" w:hAnsi="仿宋" w:eastAsia="仿宋" w:cs="仿宋"/>
                <w:color w:val="000000"/>
                <w:sz w:val="20"/>
                <w:szCs w:val="20"/>
                <w:highlight w:val="none"/>
                <w:lang w:val="en-US" w:eastAsia="zh-CN"/>
              </w:rPr>
              <w:t>生活有所改善</w:t>
            </w:r>
          </w:p>
        </w:tc>
        <w:tc>
          <w:tcPr>
            <w:tcW w:w="1269" w:type="dxa"/>
            <w:tcBorders>
              <w:top w:val="nil"/>
              <w:left w:val="nil"/>
              <w:bottom w:val="single" w:color="auto" w:sz="4" w:space="0"/>
              <w:right w:val="single" w:color="auto" w:sz="4" w:space="0"/>
            </w:tcBorders>
            <w:noWrap w:val="0"/>
            <w:vAlign w:val="center"/>
          </w:tcPr>
          <w:p w14:paraId="3D0714B7">
            <w:pPr>
              <w:widowControl/>
              <w:spacing w:line="240" w:lineRule="exact"/>
              <w:jc w:val="left"/>
              <w:rPr>
                <w:rFonts w:hint="eastAsia" w:ascii="仿宋" w:hAnsi="仿宋" w:eastAsia="仿宋" w:cs="仿宋"/>
                <w:color w:val="000000"/>
                <w:sz w:val="20"/>
                <w:szCs w:val="20"/>
                <w:highlight w:val="none"/>
                <w:lang w:val="en-US" w:eastAsia="zh-CN"/>
              </w:rPr>
            </w:pPr>
            <w:r>
              <w:rPr>
                <w:rFonts w:hint="eastAsia" w:ascii="仿宋" w:hAnsi="仿宋" w:eastAsia="仿宋" w:cs="仿宋"/>
                <w:color w:val="000000"/>
                <w:sz w:val="20"/>
                <w:szCs w:val="20"/>
                <w:highlight w:val="none"/>
              </w:rPr>
              <w:t>　</w:t>
            </w:r>
            <w:r>
              <w:rPr>
                <w:rFonts w:hint="eastAsia" w:ascii="仿宋" w:hAnsi="仿宋" w:eastAsia="仿宋" w:cs="仿宋"/>
                <w:color w:val="000000"/>
                <w:sz w:val="20"/>
                <w:szCs w:val="20"/>
                <w:highlight w:val="none"/>
                <w:lang w:val="en-US" w:eastAsia="zh-CN"/>
              </w:rPr>
              <w:t>人群献血满意度提高，生活有所改善</w:t>
            </w:r>
          </w:p>
        </w:tc>
        <w:tc>
          <w:tcPr>
            <w:tcW w:w="716" w:type="dxa"/>
            <w:tcBorders>
              <w:top w:val="nil"/>
              <w:left w:val="nil"/>
              <w:bottom w:val="single" w:color="auto" w:sz="4" w:space="0"/>
              <w:right w:val="single" w:color="auto" w:sz="4" w:space="0"/>
            </w:tcBorders>
            <w:noWrap w:val="0"/>
            <w:vAlign w:val="center"/>
          </w:tcPr>
          <w:p w14:paraId="7172E1A3">
            <w:pPr>
              <w:widowControl/>
              <w:spacing w:line="240" w:lineRule="exact"/>
              <w:jc w:val="left"/>
              <w:rPr>
                <w:rFonts w:hint="eastAsia" w:ascii="仿宋" w:hAnsi="仿宋" w:eastAsia="仿宋" w:cs="仿宋"/>
                <w:color w:val="000000"/>
                <w:sz w:val="20"/>
                <w:szCs w:val="20"/>
                <w:highlight w:val="none"/>
                <w:lang w:val="en-US" w:eastAsia="zh-CN"/>
              </w:rPr>
            </w:pPr>
            <w:r>
              <w:rPr>
                <w:rFonts w:hint="eastAsia" w:ascii="仿宋" w:hAnsi="仿宋" w:eastAsia="仿宋" w:cs="仿宋"/>
                <w:color w:val="000000"/>
                <w:sz w:val="20"/>
                <w:szCs w:val="20"/>
                <w:highlight w:val="none"/>
              </w:rPr>
              <w:t>　</w:t>
            </w:r>
            <w:r>
              <w:rPr>
                <w:rFonts w:hint="eastAsia" w:ascii="仿宋" w:hAnsi="仿宋" w:eastAsia="仿宋" w:cs="仿宋"/>
                <w:color w:val="000000"/>
                <w:sz w:val="20"/>
                <w:szCs w:val="20"/>
                <w:highlight w:val="none"/>
                <w:lang w:val="en-US" w:eastAsia="zh-CN"/>
              </w:rPr>
              <w:t>5</w:t>
            </w:r>
          </w:p>
        </w:tc>
        <w:tc>
          <w:tcPr>
            <w:tcW w:w="873" w:type="dxa"/>
            <w:tcBorders>
              <w:top w:val="nil"/>
              <w:left w:val="nil"/>
              <w:bottom w:val="single" w:color="auto" w:sz="4" w:space="0"/>
              <w:right w:val="single" w:color="auto" w:sz="4" w:space="0"/>
            </w:tcBorders>
            <w:noWrap w:val="0"/>
            <w:vAlign w:val="center"/>
          </w:tcPr>
          <w:p w14:paraId="21907710">
            <w:pPr>
              <w:widowControl/>
              <w:spacing w:line="240" w:lineRule="exact"/>
              <w:jc w:val="left"/>
              <w:rPr>
                <w:rFonts w:hint="eastAsia" w:ascii="仿宋" w:hAnsi="仿宋" w:eastAsia="仿宋" w:cs="仿宋"/>
                <w:color w:val="000000"/>
                <w:sz w:val="20"/>
                <w:szCs w:val="20"/>
                <w:highlight w:val="none"/>
                <w:lang w:val="en-US" w:eastAsia="zh-CN"/>
              </w:rPr>
            </w:pPr>
            <w:r>
              <w:rPr>
                <w:rFonts w:hint="eastAsia" w:ascii="仿宋" w:hAnsi="仿宋" w:eastAsia="仿宋" w:cs="仿宋"/>
                <w:color w:val="000000"/>
                <w:sz w:val="20"/>
                <w:szCs w:val="20"/>
                <w:highlight w:val="none"/>
              </w:rPr>
              <w:t>　</w:t>
            </w:r>
            <w:r>
              <w:rPr>
                <w:rFonts w:hint="eastAsia" w:ascii="仿宋" w:hAnsi="仿宋" w:eastAsia="仿宋" w:cs="仿宋"/>
                <w:color w:val="000000"/>
                <w:sz w:val="20"/>
                <w:szCs w:val="20"/>
                <w:highlight w:val="none"/>
                <w:lang w:val="en-US" w:eastAsia="zh-CN"/>
              </w:rPr>
              <w:t>5</w:t>
            </w:r>
          </w:p>
        </w:tc>
        <w:tc>
          <w:tcPr>
            <w:tcW w:w="1446" w:type="dxa"/>
            <w:tcBorders>
              <w:top w:val="nil"/>
              <w:left w:val="nil"/>
              <w:bottom w:val="single" w:color="auto" w:sz="4" w:space="0"/>
              <w:right w:val="single" w:color="auto" w:sz="4" w:space="0"/>
            </w:tcBorders>
            <w:noWrap w:val="0"/>
            <w:vAlign w:val="center"/>
          </w:tcPr>
          <w:p w14:paraId="009C4BC4">
            <w:pPr>
              <w:widowControl/>
              <w:spacing w:line="240" w:lineRule="exact"/>
              <w:jc w:val="left"/>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14:paraId="11B375B0">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14:paraId="1C1D88FC">
            <w:pPr>
              <w:spacing w:line="240" w:lineRule="exact"/>
              <w:jc w:val="left"/>
              <w:rPr>
                <w:rFonts w:hint="eastAsia" w:ascii="仿宋_GB2312" w:hAnsi="仿宋_GB2312" w:eastAsia="仿宋_GB2312" w:cs="仿宋_GB2312"/>
                <w:color w:val="000000"/>
                <w:sz w:val="20"/>
                <w:szCs w:val="20"/>
                <w:highlight w:val="none"/>
              </w:rPr>
            </w:pPr>
          </w:p>
        </w:tc>
        <w:tc>
          <w:tcPr>
            <w:tcW w:w="1080" w:type="dxa"/>
            <w:vMerge w:val="continue"/>
            <w:tcBorders>
              <w:left w:val="nil"/>
              <w:right w:val="single" w:color="auto" w:sz="4" w:space="0"/>
            </w:tcBorders>
            <w:noWrap w:val="0"/>
            <w:vAlign w:val="center"/>
          </w:tcPr>
          <w:p w14:paraId="274141CF">
            <w:pPr>
              <w:spacing w:line="240" w:lineRule="exact"/>
              <w:jc w:val="left"/>
              <w:rPr>
                <w:rFonts w:hint="eastAsia" w:ascii="仿宋_GB2312" w:hAnsi="仿宋_GB2312" w:eastAsia="仿宋_GB2312" w:cs="仿宋_GB2312"/>
                <w:color w:val="000000"/>
                <w:sz w:val="20"/>
                <w:szCs w:val="20"/>
                <w:highlight w:val="none"/>
              </w:rPr>
            </w:pPr>
          </w:p>
        </w:tc>
        <w:tc>
          <w:tcPr>
            <w:tcW w:w="1034" w:type="dxa"/>
            <w:vMerge w:val="continue"/>
            <w:tcBorders>
              <w:left w:val="nil"/>
              <w:right w:val="single" w:color="auto" w:sz="4" w:space="0"/>
            </w:tcBorders>
            <w:noWrap w:val="0"/>
            <w:vAlign w:val="center"/>
          </w:tcPr>
          <w:p w14:paraId="5B68B09E">
            <w:pPr>
              <w:spacing w:line="240" w:lineRule="exact"/>
              <w:jc w:val="center"/>
              <w:rPr>
                <w:rFonts w:hint="eastAsia" w:ascii="仿宋_GB2312" w:hAnsi="仿宋_GB2312" w:eastAsia="仿宋_GB2312" w:cs="仿宋_GB2312"/>
                <w:color w:val="000000"/>
                <w:sz w:val="20"/>
                <w:szCs w:val="20"/>
                <w:highlight w:val="none"/>
              </w:rPr>
            </w:pPr>
          </w:p>
        </w:tc>
        <w:tc>
          <w:tcPr>
            <w:tcW w:w="1270" w:type="dxa"/>
            <w:tcBorders>
              <w:top w:val="nil"/>
              <w:left w:val="nil"/>
              <w:bottom w:val="single" w:color="auto" w:sz="4" w:space="0"/>
              <w:right w:val="single" w:color="auto" w:sz="4" w:space="0"/>
            </w:tcBorders>
            <w:noWrap w:val="0"/>
            <w:vAlign w:val="center"/>
          </w:tcPr>
          <w:p w14:paraId="6C767380">
            <w:pPr>
              <w:widowControl/>
              <w:spacing w:line="240" w:lineRule="exact"/>
              <w:jc w:val="center"/>
              <w:rPr>
                <w:rFonts w:hint="eastAsia" w:ascii="仿宋" w:hAnsi="仿宋" w:eastAsia="仿宋" w:cs="仿宋"/>
                <w:color w:val="000000"/>
                <w:sz w:val="20"/>
                <w:szCs w:val="20"/>
                <w:highlight w:val="none"/>
              </w:rPr>
            </w:pPr>
          </w:p>
        </w:tc>
        <w:tc>
          <w:tcPr>
            <w:tcW w:w="1311" w:type="dxa"/>
            <w:tcBorders>
              <w:top w:val="nil"/>
              <w:left w:val="nil"/>
              <w:bottom w:val="single" w:color="auto" w:sz="4" w:space="0"/>
              <w:right w:val="single" w:color="auto" w:sz="4" w:space="0"/>
            </w:tcBorders>
            <w:noWrap w:val="0"/>
            <w:vAlign w:val="center"/>
          </w:tcPr>
          <w:p w14:paraId="1BB686C7">
            <w:pPr>
              <w:widowControl/>
              <w:spacing w:line="240" w:lineRule="exact"/>
              <w:jc w:val="left"/>
              <w:rPr>
                <w:rFonts w:hint="eastAsia" w:ascii="仿宋" w:hAnsi="仿宋" w:eastAsia="仿宋" w:cs="仿宋"/>
                <w:color w:val="000000"/>
                <w:sz w:val="20"/>
                <w:szCs w:val="20"/>
                <w:highlight w:val="none"/>
              </w:rPr>
            </w:pPr>
            <w:r>
              <w:rPr>
                <w:rFonts w:hint="eastAsia" w:ascii="仿宋" w:hAnsi="仿宋" w:eastAsia="仿宋" w:cs="仿宋"/>
                <w:color w:val="000000"/>
                <w:sz w:val="20"/>
                <w:szCs w:val="20"/>
                <w:highlight w:val="none"/>
              </w:rPr>
              <w:t>　</w:t>
            </w:r>
          </w:p>
        </w:tc>
        <w:tc>
          <w:tcPr>
            <w:tcW w:w="1269" w:type="dxa"/>
            <w:tcBorders>
              <w:top w:val="nil"/>
              <w:left w:val="nil"/>
              <w:bottom w:val="single" w:color="auto" w:sz="4" w:space="0"/>
              <w:right w:val="single" w:color="auto" w:sz="4" w:space="0"/>
            </w:tcBorders>
            <w:noWrap w:val="0"/>
            <w:vAlign w:val="center"/>
          </w:tcPr>
          <w:p w14:paraId="0B2E1988">
            <w:pPr>
              <w:widowControl/>
              <w:spacing w:line="240" w:lineRule="exact"/>
              <w:jc w:val="left"/>
              <w:rPr>
                <w:rFonts w:hint="eastAsia" w:ascii="仿宋" w:hAnsi="仿宋" w:eastAsia="仿宋" w:cs="仿宋"/>
                <w:color w:val="000000"/>
                <w:sz w:val="20"/>
                <w:szCs w:val="20"/>
                <w:highlight w:val="none"/>
              </w:rPr>
            </w:pPr>
            <w:r>
              <w:rPr>
                <w:rFonts w:hint="eastAsia" w:ascii="仿宋" w:hAnsi="仿宋" w:eastAsia="仿宋" w:cs="仿宋"/>
                <w:color w:val="000000"/>
                <w:sz w:val="20"/>
                <w:szCs w:val="20"/>
                <w:highlight w:val="none"/>
              </w:rPr>
              <w:t>　</w:t>
            </w:r>
          </w:p>
        </w:tc>
        <w:tc>
          <w:tcPr>
            <w:tcW w:w="716" w:type="dxa"/>
            <w:tcBorders>
              <w:top w:val="nil"/>
              <w:left w:val="nil"/>
              <w:bottom w:val="single" w:color="auto" w:sz="4" w:space="0"/>
              <w:right w:val="single" w:color="auto" w:sz="4" w:space="0"/>
            </w:tcBorders>
            <w:noWrap w:val="0"/>
            <w:vAlign w:val="center"/>
          </w:tcPr>
          <w:p w14:paraId="02ABB107">
            <w:pPr>
              <w:widowControl/>
              <w:spacing w:line="240" w:lineRule="exact"/>
              <w:jc w:val="left"/>
              <w:rPr>
                <w:rFonts w:hint="eastAsia" w:ascii="仿宋" w:hAnsi="仿宋" w:eastAsia="仿宋" w:cs="仿宋"/>
                <w:color w:val="000000"/>
                <w:sz w:val="20"/>
                <w:szCs w:val="20"/>
                <w:highlight w:val="none"/>
              </w:rPr>
            </w:pPr>
            <w:r>
              <w:rPr>
                <w:rFonts w:hint="eastAsia" w:ascii="仿宋" w:hAnsi="仿宋" w:eastAsia="仿宋" w:cs="仿宋"/>
                <w:color w:val="000000"/>
                <w:sz w:val="20"/>
                <w:szCs w:val="20"/>
                <w:highlight w:val="none"/>
              </w:rPr>
              <w:t>　</w:t>
            </w:r>
          </w:p>
        </w:tc>
        <w:tc>
          <w:tcPr>
            <w:tcW w:w="873" w:type="dxa"/>
            <w:tcBorders>
              <w:top w:val="nil"/>
              <w:left w:val="nil"/>
              <w:bottom w:val="single" w:color="auto" w:sz="4" w:space="0"/>
              <w:right w:val="single" w:color="auto" w:sz="4" w:space="0"/>
            </w:tcBorders>
            <w:noWrap w:val="0"/>
            <w:vAlign w:val="center"/>
          </w:tcPr>
          <w:p w14:paraId="775C4883">
            <w:pPr>
              <w:widowControl/>
              <w:spacing w:line="240" w:lineRule="exact"/>
              <w:jc w:val="left"/>
              <w:rPr>
                <w:rFonts w:hint="eastAsia" w:ascii="仿宋" w:hAnsi="仿宋" w:eastAsia="仿宋" w:cs="仿宋"/>
                <w:color w:val="000000"/>
                <w:sz w:val="20"/>
                <w:szCs w:val="20"/>
                <w:highlight w:val="none"/>
              </w:rPr>
            </w:pPr>
            <w:r>
              <w:rPr>
                <w:rFonts w:hint="eastAsia" w:ascii="仿宋" w:hAnsi="仿宋" w:eastAsia="仿宋" w:cs="仿宋"/>
                <w:color w:val="000000"/>
                <w:sz w:val="20"/>
                <w:szCs w:val="20"/>
                <w:highlight w:val="none"/>
              </w:rPr>
              <w:t>　</w:t>
            </w:r>
          </w:p>
        </w:tc>
        <w:tc>
          <w:tcPr>
            <w:tcW w:w="1446" w:type="dxa"/>
            <w:tcBorders>
              <w:top w:val="nil"/>
              <w:left w:val="nil"/>
              <w:bottom w:val="single" w:color="auto" w:sz="4" w:space="0"/>
              <w:right w:val="single" w:color="auto" w:sz="4" w:space="0"/>
            </w:tcBorders>
            <w:noWrap w:val="0"/>
            <w:vAlign w:val="center"/>
          </w:tcPr>
          <w:p w14:paraId="7822818F">
            <w:pPr>
              <w:widowControl/>
              <w:spacing w:line="240" w:lineRule="exact"/>
              <w:jc w:val="left"/>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14:paraId="46761059">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14:paraId="075CF9F9">
            <w:pPr>
              <w:spacing w:line="240" w:lineRule="exact"/>
              <w:jc w:val="left"/>
              <w:rPr>
                <w:rFonts w:hint="eastAsia" w:ascii="仿宋_GB2312" w:hAnsi="仿宋_GB2312" w:eastAsia="仿宋_GB2312" w:cs="仿宋_GB2312"/>
                <w:color w:val="000000"/>
                <w:sz w:val="20"/>
                <w:szCs w:val="20"/>
                <w:highlight w:val="none"/>
              </w:rPr>
            </w:pPr>
          </w:p>
        </w:tc>
        <w:tc>
          <w:tcPr>
            <w:tcW w:w="1080" w:type="dxa"/>
            <w:vMerge w:val="continue"/>
            <w:tcBorders>
              <w:left w:val="nil"/>
              <w:right w:val="single" w:color="auto" w:sz="4" w:space="0"/>
            </w:tcBorders>
            <w:noWrap w:val="0"/>
            <w:vAlign w:val="center"/>
          </w:tcPr>
          <w:p w14:paraId="72039418">
            <w:pPr>
              <w:spacing w:line="240" w:lineRule="exact"/>
              <w:jc w:val="left"/>
              <w:rPr>
                <w:rFonts w:hint="eastAsia" w:ascii="仿宋_GB2312" w:hAnsi="仿宋_GB2312" w:eastAsia="仿宋_GB2312" w:cs="仿宋_GB2312"/>
                <w:color w:val="000000"/>
                <w:sz w:val="20"/>
                <w:szCs w:val="20"/>
                <w:highlight w:val="none"/>
              </w:rPr>
            </w:pPr>
          </w:p>
        </w:tc>
        <w:tc>
          <w:tcPr>
            <w:tcW w:w="1034" w:type="dxa"/>
            <w:vMerge w:val="continue"/>
            <w:tcBorders>
              <w:left w:val="nil"/>
              <w:bottom w:val="single" w:color="auto" w:sz="4" w:space="0"/>
              <w:right w:val="single" w:color="auto" w:sz="4" w:space="0"/>
            </w:tcBorders>
            <w:noWrap w:val="0"/>
            <w:vAlign w:val="center"/>
          </w:tcPr>
          <w:p w14:paraId="03A5B20E">
            <w:pPr>
              <w:widowControl/>
              <w:spacing w:line="240" w:lineRule="exact"/>
              <w:jc w:val="center"/>
              <w:rPr>
                <w:rFonts w:hint="eastAsia" w:ascii="仿宋_GB2312" w:hAnsi="仿宋_GB2312" w:eastAsia="仿宋_GB2312" w:cs="仿宋_GB2312"/>
                <w:color w:val="000000"/>
                <w:sz w:val="20"/>
                <w:szCs w:val="20"/>
                <w:highlight w:val="none"/>
              </w:rPr>
            </w:pPr>
          </w:p>
        </w:tc>
        <w:tc>
          <w:tcPr>
            <w:tcW w:w="1270" w:type="dxa"/>
            <w:tcBorders>
              <w:top w:val="nil"/>
              <w:left w:val="nil"/>
              <w:bottom w:val="single" w:color="auto" w:sz="4" w:space="0"/>
              <w:right w:val="single" w:color="auto" w:sz="4" w:space="0"/>
            </w:tcBorders>
            <w:noWrap w:val="0"/>
            <w:vAlign w:val="center"/>
          </w:tcPr>
          <w:p w14:paraId="452F4193">
            <w:pPr>
              <w:widowControl/>
              <w:spacing w:line="240" w:lineRule="exact"/>
              <w:jc w:val="center"/>
              <w:rPr>
                <w:rFonts w:hint="eastAsia" w:ascii="仿宋" w:hAnsi="仿宋" w:eastAsia="仿宋" w:cs="仿宋"/>
                <w:color w:val="000000"/>
                <w:sz w:val="20"/>
                <w:szCs w:val="20"/>
                <w:highlight w:val="none"/>
              </w:rPr>
            </w:pPr>
            <w:r>
              <w:rPr>
                <w:rFonts w:hint="eastAsia" w:ascii="仿宋" w:hAnsi="仿宋" w:eastAsia="仿宋" w:cs="仿宋"/>
                <w:color w:val="000000"/>
                <w:sz w:val="20"/>
                <w:szCs w:val="20"/>
                <w:highlight w:val="none"/>
              </w:rPr>
              <w:t>……</w:t>
            </w:r>
          </w:p>
        </w:tc>
        <w:tc>
          <w:tcPr>
            <w:tcW w:w="1311" w:type="dxa"/>
            <w:tcBorders>
              <w:top w:val="nil"/>
              <w:left w:val="nil"/>
              <w:bottom w:val="single" w:color="auto" w:sz="4" w:space="0"/>
              <w:right w:val="single" w:color="auto" w:sz="4" w:space="0"/>
            </w:tcBorders>
            <w:noWrap w:val="0"/>
            <w:vAlign w:val="center"/>
          </w:tcPr>
          <w:p w14:paraId="3FA20EC0">
            <w:pPr>
              <w:widowControl/>
              <w:spacing w:line="240" w:lineRule="exact"/>
              <w:jc w:val="left"/>
              <w:rPr>
                <w:rFonts w:hint="eastAsia" w:ascii="仿宋" w:hAnsi="仿宋" w:eastAsia="仿宋" w:cs="仿宋"/>
                <w:color w:val="000000"/>
                <w:sz w:val="20"/>
                <w:szCs w:val="20"/>
                <w:highlight w:val="none"/>
              </w:rPr>
            </w:pPr>
            <w:r>
              <w:rPr>
                <w:rFonts w:hint="eastAsia" w:ascii="仿宋" w:hAnsi="仿宋" w:eastAsia="仿宋" w:cs="仿宋"/>
                <w:color w:val="000000"/>
                <w:sz w:val="20"/>
                <w:szCs w:val="20"/>
                <w:highlight w:val="none"/>
              </w:rPr>
              <w:t>　</w:t>
            </w:r>
          </w:p>
        </w:tc>
        <w:tc>
          <w:tcPr>
            <w:tcW w:w="1269" w:type="dxa"/>
            <w:tcBorders>
              <w:top w:val="nil"/>
              <w:left w:val="nil"/>
              <w:bottom w:val="single" w:color="auto" w:sz="4" w:space="0"/>
              <w:right w:val="single" w:color="auto" w:sz="4" w:space="0"/>
            </w:tcBorders>
            <w:noWrap w:val="0"/>
            <w:vAlign w:val="center"/>
          </w:tcPr>
          <w:p w14:paraId="1563152D">
            <w:pPr>
              <w:widowControl/>
              <w:spacing w:line="240" w:lineRule="exact"/>
              <w:jc w:val="left"/>
              <w:rPr>
                <w:rFonts w:hint="eastAsia" w:ascii="仿宋" w:hAnsi="仿宋" w:eastAsia="仿宋" w:cs="仿宋"/>
                <w:color w:val="000000"/>
                <w:sz w:val="20"/>
                <w:szCs w:val="20"/>
                <w:highlight w:val="none"/>
              </w:rPr>
            </w:pPr>
            <w:r>
              <w:rPr>
                <w:rFonts w:hint="eastAsia" w:ascii="仿宋" w:hAnsi="仿宋" w:eastAsia="仿宋" w:cs="仿宋"/>
                <w:color w:val="000000"/>
                <w:sz w:val="20"/>
                <w:szCs w:val="20"/>
                <w:highlight w:val="none"/>
              </w:rPr>
              <w:t>　</w:t>
            </w:r>
          </w:p>
        </w:tc>
        <w:tc>
          <w:tcPr>
            <w:tcW w:w="716" w:type="dxa"/>
            <w:tcBorders>
              <w:top w:val="nil"/>
              <w:left w:val="nil"/>
              <w:bottom w:val="single" w:color="auto" w:sz="4" w:space="0"/>
              <w:right w:val="single" w:color="auto" w:sz="4" w:space="0"/>
            </w:tcBorders>
            <w:noWrap w:val="0"/>
            <w:vAlign w:val="center"/>
          </w:tcPr>
          <w:p w14:paraId="62C4A237">
            <w:pPr>
              <w:widowControl/>
              <w:spacing w:line="240" w:lineRule="exact"/>
              <w:jc w:val="left"/>
              <w:rPr>
                <w:rFonts w:hint="eastAsia" w:ascii="仿宋" w:hAnsi="仿宋" w:eastAsia="仿宋" w:cs="仿宋"/>
                <w:color w:val="000000"/>
                <w:sz w:val="20"/>
                <w:szCs w:val="20"/>
                <w:highlight w:val="none"/>
              </w:rPr>
            </w:pPr>
            <w:r>
              <w:rPr>
                <w:rFonts w:hint="eastAsia" w:ascii="仿宋" w:hAnsi="仿宋" w:eastAsia="仿宋" w:cs="仿宋"/>
                <w:color w:val="000000"/>
                <w:sz w:val="20"/>
                <w:szCs w:val="20"/>
                <w:highlight w:val="none"/>
              </w:rPr>
              <w:t>　</w:t>
            </w:r>
          </w:p>
        </w:tc>
        <w:tc>
          <w:tcPr>
            <w:tcW w:w="873" w:type="dxa"/>
            <w:tcBorders>
              <w:top w:val="nil"/>
              <w:left w:val="nil"/>
              <w:bottom w:val="single" w:color="auto" w:sz="4" w:space="0"/>
              <w:right w:val="single" w:color="auto" w:sz="4" w:space="0"/>
            </w:tcBorders>
            <w:noWrap w:val="0"/>
            <w:vAlign w:val="center"/>
          </w:tcPr>
          <w:p w14:paraId="2D40E5DC">
            <w:pPr>
              <w:widowControl/>
              <w:spacing w:line="240" w:lineRule="exact"/>
              <w:jc w:val="left"/>
              <w:rPr>
                <w:rFonts w:hint="eastAsia" w:ascii="仿宋" w:hAnsi="仿宋" w:eastAsia="仿宋" w:cs="仿宋"/>
                <w:color w:val="000000"/>
                <w:sz w:val="20"/>
                <w:szCs w:val="20"/>
                <w:highlight w:val="none"/>
              </w:rPr>
            </w:pPr>
            <w:r>
              <w:rPr>
                <w:rFonts w:hint="eastAsia" w:ascii="仿宋" w:hAnsi="仿宋" w:eastAsia="仿宋" w:cs="仿宋"/>
                <w:color w:val="000000"/>
                <w:sz w:val="20"/>
                <w:szCs w:val="20"/>
                <w:highlight w:val="none"/>
              </w:rPr>
              <w:t>　</w:t>
            </w:r>
          </w:p>
        </w:tc>
        <w:tc>
          <w:tcPr>
            <w:tcW w:w="1446" w:type="dxa"/>
            <w:tcBorders>
              <w:top w:val="nil"/>
              <w:left w:val="nil"/>
              <w:bottom w:val="single" w:color="auto" w:sz="4" w:space="0"/>
              <w:right w:val="single" w:color="auto" w:sz="4" w:space="0"/>
            </w:tcBorders>
            <w:noWrap w:val="0"/>
            <w:vAlign w:val="center"/>
          </w:tcPr>
          <w:p w14:paraId="2B325D1B">
            <w:pPr>
              <w:widowControl/>
              <w:spacing w:line="240" w:lineRule="exact"/>
              <w:jc w:val="left"/>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14:paraId="29B04B22">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14:paraId="1EFEE962">
            <w:pPr>
              <w:spacing w:line="240" w:lineRule="exact"/>
              <w:jc w:val="left"/>
              <w:rPr>
                <w:rFonts w:hint="eastAsia" w:ascii="仿宋_GB2312" w:hAnsi="仿宋_GB2312" w:eastAsia="仿宋_GB2312" w:cs="仿宋_GB2312"/>
                <w:color w:val="000000"/>
                <w:sz w:val="20"/>
                <w:szCs w:val="20"/>
                <w:highlight w:val="none"/>
              </w:rPr>
            </w:pPr>
          </w:p>
        </w:tc>
        <w:tc>
          <w:tcPr>
            <w:tcW w:w="1080" w:type="dxa"/>
            <w:vMerge w:val="continue"/>
            <w:tcBorders>
              <w:left w:val="nil"/>
              <w:right w:val="single" w:color="auto" w:sz="4" w:space="0"/>
            </w:tcBorders>
            <w:noWrap w:val="0"/>
            <w:vAlign w:val="center"/>
          </w:tcPr>
          <w:p w14:paraId="18BB49DD">
            <w:pPr>
              <w:spacing w:line="240" w:lineRule="exact"/>
              <w:jc w:val="left"/>
              <w:rPr>
                <w:rFonts w:hint="eastAsia" w:ascii="仿宋_GB2312" w:hAnsi="仿宋_GB2312" w:eastAsia="仿宋_GB2312" w:cs="仿宋_GB2312"/>
                <w:color w:val="000000"/>
                <w:sz w:val="20"/>
                <w:szCs w:val="20"/>
                <w:highlight w:val="none"/>
              </w:rPr>
            </w:pPr>
          </w:p>
        </w:tc>
        <w:tc>
          <w:tcPr>
            <w:tcW w:w="1034" w:type="dxa"/>
            <w:vMerge w:val="restart"/>
            <w:tcBorders>
              <w:top w:val="nil"/>
              <w:left w:val="nil"/>
              <w:right w:val="single" w:color="auto" w:sz="4" w:space="0"/>
            </w:tcBorders>
            <w:noWrap w:val="0"/>
            <w:vAlign w:val="center"/>
          </w:tcPr>
          <w:p w14:paraId="34FEF021">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社会效</w:t>
            </w:r>
          </w:p>
          <w:p w14:paraId="03E92CC9">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益指标</w:t>
            </w:r>
          </w:p>
        </w:tc>
        <w:tc>
          <w:tcPr>
            <w:tcW w:w="1270" w:type="dxa"/>
            <w:tcBorders>
              <w:top w:val="nil"/>
              <w:left w:val="nil"/>
              <w:bottom w:val="single" w:color="auto" w:sz="4" w:space="0"/>
              <w:right w:val="single" w:color="auto" w:sz="4" w:space="0"/>
            </w:tcBorders>
            <w:noWrap w:val="0"/>
            <w:vAlign w:val="center"/>
          </w:tcPr>
          <w:p w14:paraId="1821921F">
            <w:pPr>
              <w:widowControl/>
              <w:spacing w:line="240" w:lineRule="exact"/>
              <w:jc w:val="center"/>
              <w:rPr>
                <w:rFonts w:hint="eastAsia" w:ascii="仿宋" w:hAnsi="仿宋" w:eastAsia="仿宋" w:cs="仿宋"/>
                <w:color w:val="000000"/>
                <w:sz w:val="20"/>
                <w:szCs w:val="20"/>
                <w:highlight w:val="none"/>
                <w:lang w:val="en-US" w:eastAsia="zh-CN"/>
              </w:rPr>
            </w:pPr>
            <w:r>
              <w:rPr>
                <w:rFonts w:hint="eastAsia" w:ascii="仿宋" w:hAnsi="仿宋" w:eastAsia="仿宋" w:cs="仿宋"/>
                <w:color w:val="000000"/>
                <w:sz w:val="20"/>
                <w:szCs w:val="20"/>
                <w:highlight w:val="none"/>
                <w:lang w:val="en-US" w:eastAsia="zh-CN"/>
              </w:rPr>
              <w:t>无偿献血宣传招募</w:t>
            </w:r>
          </w:p>
        </w:tc>
        <w:tc>
          <w:tcPr>
            <w:tcW w:w="1311" w:type="dxa"/>
            <w:tcBorders>
              <w:top w:val="nil"/>
              <w:left w:val="nil"/>
              <w:bottom w:val="single" w:color="auto" w:sz="4" w:space="0"/>
              <w:right w:val="single" w:color="auto" w:sz="4" w:space="0"/>
            </w:tcBorders>
            <w:noWrap w:val="0"/>
            <w:vAlign w:val="center"/>
          </w:tcPr>
          <w:p w14:paraId="5E2302AF">
            <w:pPr>
              <w:widowControl/>
              <w:spacing w:line="240" w:lineRule="exact"/>
              <w:jc w:val="left"/>
              <w:rPr>
                <w:rFonts w:hint="eastAsia" w:ascii="仿宋" w:hAnsi="仿宋" w:eastAsia="仿宋" w:cs="仿宋"/>
                <w:color w:val="000000"/>
                <w:sz w:val="20"/>
                <w:szCs w:val="20"/>
                <w:highlight w:val="none"/>
                <w:lang w:val="en-US"/>
              </w:rPr>
            </w:pPr>
            <w:r>
              <w:rPr>
                <w:rFonts w:hint="eastAsia" w:ascii="仿宋" w:hAnsi="仿宋" w:eastAsia="仿宋" w:cs="仿宋"/>
                <w:color w:val="000000"/>
                <w:sz w:val="20"/>
                <w:szCs w:val="20"/>
                <w:highlight w:val="none"/>
              </w:rPr>
              <w:t>　</w:t>
            </w:r>
            <w:r>
              <w:rPr>
                <w:rFonts w:hint="eastAsia" w:ascii="仿宋" w:hAnsi="仿宋" w:eastAsia="仿宋" w:cs="仿宋"/>
                <w:spacing w:val="0"/>
                <w:sz w:val="20"/>
                <w:szCs w:val="20"/>
                <w:lang w:val="en-US" w:eastAsia="zh-CN"/>
              </w:rPr>
              <w:t>提高无偿献血知晓率</w:t>
            </w:r>
          </w:p>
        </w:tc>
        <w:tc>
          <w:tcPr>
            <w:tcW w:w="1269" w:type="dxa"/>
            <w:tcBorders>
              <w:top w:val="nil"/>
              <w:left w:val="nil"/>
              <w:bottom w:val="single" w:color="auto" w:sz="4" w:space="0"/>
              <w:right w:val="single" w:color="auto" w:sz="4" w:space="0"/>
            </w:tcBorders>
            <w:noWrap w:val="0"/>
            <w:vAlign w:val="center"/>
          </w:tcPr>
          <w:p w14:paraId="69B078C7">
            <w:pPr>
              <w:widowControl/>
              <w:spacing w:line="240" w:lineRule="exact"/>
              <w:jc w:val="left"/>
              <w:rPr>
                <w:rFonts w:hint="eastAsia" w:ascii="仿宋" w:hAnsi="仿宋" w:eastAsia="仿宋" w:cs="仿宋"/>
                <w:color w:val="000000"/>
                <w:sz w:val="20"/>
                <w:szCs w:val="20"/>
                <w:highlight w:val="none"/>
              </w:rPr>
            </w:pPr>
            <w:r>
              <w:rPr>
                <w:rFonts w:hint="eastAsia" w:ascii="仿宋" w:hAnsi="仿宋" w:eastAsia="仿宋" w:cs="仿宋"/>
                <w:color w:val="000000"/>
                <w:sz w:val="20"/>
                <w:szCs w:val="20"/>
                <w:highlight w:val="none"/>
              </w:rPr>
              <w:t>　</w:t>
            </w:r>
            <w:r>
              <w:rPr>
                <w:rFonts w:hint="eastAsia" w:ascii="仿宋" w:hAnsi="仿宋" w:eastAsia="仿宋" w:cs="仿宋"/>
                <w:color w:val="auto"/>
                <w:sz w:val="20"/>
                <w:szCs w:val="20"/>
                <w:lang w:val="en-US" w:eastAsia="zh-CN"/>
              </w:rPr>
              <w:t>提高无偿献血知晓率，提高公民献血意识，营造良好的社会氛围</w:t>
            </w:r>
          </w:p>
        </w:tc>
        <w:tc>
          <w:tcPr>
            <w:tcW w:w="716" w:type="dxa"/>
            <w:tcBorders>
              <w:top w:val="nil"/>
              <w:left w:val="nil"/>
              <w:bottom w:val="single" w:color="auto" w:sz="4" w:space="0"/>
              <w:right w:val="single" w:color="auto" w:sz="4" w:space="0"/>
            </w:tcBorders>
            <w:noWrap w:val="0"/>
            <w:vAlign w:val="center"/>
          </w:tcPr>
          <w:p w14:paraId="118348E9">
            <w:pPr>
              <w:widowControl/>
              <w:spacing w:line="240" w:lineRule="exact"/>
              <w:jc w:val="left"/>
              <w:rPr>
                <w:rFonts w:hint="eastAsia" w:ascii="仿宋" w:hAnsi="仿宋" w:eastAsia="仿宋" w:cs="仿宋"/>
                <w:color w:val="000000"/>
                <w:sz w:val="20"/>
                <w:szCs w:val="20"/>
                <w:highlight w:val="none"/>
                <w:lang w:val="en-US" w:eastAsia="zh-CN"/>
              </w:rPr>
            </w:pPr>
            <w:r>
              <w:rPr>
                <w:rFonts w:hint="eastAsia" w:ascii="仿宋" w:hAnsi="仿宋" w:eastAsia="仿宋" w:cs="仿宋"/>
                <w:color w:val="000000"/>
                <w:sz w:val="20"/>
                <w:szCs w:val="20"/>
                <w:highlight w:val="none"/>
              </w:rPr>
              <w:t>　</w:t>
            </w:r>
            <w:r>
              <w:rPr>
                <w:rFonts w:hint="eastAsia" w:ascii="仿宋" w:hAnsi="仿宋" w:eastAsia="仿宋" w:cs="仿宋"/>
                <w:color w:val="000000"/>
                <w:sz w:val="20"/>
                <w:szCs w:val="20"/>
                <w:highlight w:val="none"/>
                <w:lang w:val="en-US" w:eastAsia="zh-CN"/>
              </w:rPr>
              <w:t>5</w:t>
            </w:r>
          </w:p>
        </w:tc>
        <w:tc>
          <w:tcPr>
            <w:tcW w:w="873" w:type="dxa"/>
            <w:tcBorders>
              <w:top w:val="nil"/>
              <w:left w:val="nil"/>
              <w:bottom w:val="single" w:color="auto" w:sz="4" w:space="0"/>
              <w:right w:val="single" w:color="auto" w:sz="4" w:space="0"/>
            </w:tcBorders>
            <w:noWrap w:val="0"/>
            <w:vAlign w:val="center"/>
          </w:tcPr>
          <w:p w14:paraId="13C95A2F">
            <w:pPr>
              <w:widowControl/>
              <w:spacing w:line="240" w:lineRule="exact"/>
              <w:jc w:val="left"/>
              <w:rPr>
                <w:rFonts w:hint="eastAsia" w:ascii="仿宋" w:hAnsi="仿宋" w:eastAsia="仿宋" w:cs="仿宋"/>
                <w:color w:val="000000"/>
                <w:sz w:val="20"/>
                <w:szCs w:val="20"/>
                <w:highlight w:val="none"/>
                <w:lang w:val="en-US" w:eastAsia="zh-CN"/>
              </w:rPr>
            </w:pPr>
            <w:r>
              <w:rPr>
                <w:rFonts w:hint="eastAsia" w:ascii="仿宋" w:hAnsi="仿宋" w:eastAsia="仿宋" w:cs="仿宋"/>
                <w:color w:val="000000"/>
                <w:sz w:val="20"/>
                <w:szCs w:val="20"/>
                <w:highlight w:val="none"/>
              </w:rPr>
              <w:t>　</w:t>
            </w:r>
            <w:r>
              <w:rPr>
                <w:rFonts w:hint="eastAsia" w:ascii="仿宋" w:hAnsi="仿宋" w:eastAsia="仿宋" w:cs="仿宋"/>
                <w:color w:val="000000"/>
                <w:sz w:val="20"/>
                <w:szCs w:val="20"/>
                <w:highlight w:val="none"/>
                <w:lang w:val="en-US" w:eastAsia="zh-CN"/>
              </w:rPr>
              <w:t>4</w:t>
            </w:r>
          </w:p>
        </w:tc>
        <w:tc>
          <w:tcPr>
            <w:tcW w:w="1446" w:type="dxa"/>
            <w:tcBorders>
              <w:top w:val="nil"/>
              <w:left w:val="nil"/>
              <w:bottom w:val="single" w:color="auto" w:sz="4" w:space="0"/>
              <w:right w:val="single" w:color="auto" w:sz="4" w:space="0"/>
            </w:tcBorders>
            <w:noWrap w:val="0"/>
            <w:vAlign w:val="center"/>
          </w:tcPr>
          <w:p w14:paraId="1AC8002A">
            <w:pPr>
              <w:widowControl/>
              <w:spacing w:line="240" w:lineRule="exact"/>
              <w:jc w:val="left"/>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14:paraId="357869D6">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14:paraId="2BEA72E1">
            <w:pPr>
              <w:spacing w:line="240" w:lineRule="exact"/>
              <w:jc w:val="left"/>
              <w:rPr>
                <w:rFonts w:hint="eastAsia" w:ascii="仿宋_GB2312" w:hAnsi="仿宋_GB2312" w:eastAsia="仿宋_GB2312" w:cs="仿宋_GB2312"/>
                <w:color w:val="000000"/>
                <w:sz w:val="20"/>
                <w:szCs w:val="20"/>
                <w:highlight w:val="none"/>
              </w:rPr>
            </w:pPr>
          </w:p>
        </w:tc>
        <w:tc>
          <w:tcPr>
            <w:tcW w:w="1080" w:type="dxa"/>
            <w:vMerge w:val="continue"/>
            <w:tcBorders>
              <w:left w:val="nil"/>
              <w:right w:val="single" w:color="auto" w:sz="4" w:space="0"/>
            </w:tcBorders>
            <w:noWrap w:val="0"/>
            <w:vAlign w:val="center"/>
          </w:tcPr>
          <w:p w14:paraId="7E64E99C">
            <w:pPr>
              <w:spacing w:line="240" w:lineRule="exact"/>
              <w:jc w:val="left"/>
              <w:rPr>
                <w:rFonts w:hint="eastAsia" w:ascii="仿宋_GB2312" w:hAnsi="仿宋_GB2312" w:eastAsia="仿宋_GB2312" w:cs="仿宋_GB2312"/>
                <w:color w:val="000000"/>
                <w:sz w:val="20"/>
                <w:szCs w:val="20"/>
                <w:highlight w:val="none"/>
              </w:rPr>
            </w:pPr>
          </w:p>
        </w:tc>
        <w:tc>
          <w:tcPr>
            <w:tcW w:w="1034" w:type="dxa"/>
            <w:vMerge w:val="continue"/>
            <w:tcBorders>
              <w:left w:val="nil"/>
              <w:right w:val="single" w:color="auto" w:sz="4" w:space="0"/>
            </w:tcBorders>
            <w:noWrap w:val="0"/>
            <w:vAlign w:val="center"/>
          </w:tcPr>
          <w:p w14:paraId="6222B264">
            <w:pPr>
              <w:spacing w:line="240" w:lineRule="exact"/>
              <w:jc w:val="center"/>
              <w:rPr>
                <w:rFonts w:hint="eastAsia" w:ascii="仿宋_GB2312" w:hAnsi="仿宋_GB2312" w:eastAsia="仿宋_GB2312" w:cs="仿宋_GB2312"/>
                <w:color w:val="000000"/>
                <w:sz w:val="20"/>
                <w:szCs w:val="20"/>
                <w:highlight w:val="none"/>
              </w:rPr>
            </w:pPr>
          </w:p>
        </w:tc>
        <w:tc>
          <w:tcPr>
            <w:tcW w:w="1270" w:type="dxa"/>
            <w:tcBorders>
              <w:top w:val="nil"/>
              <w:left w:val="nil"/>
              <w:bottom w:val="single" w:color="auto" w:sz="4" w:space="0"/>
              <w:right w:val="single" w:color="auto" w:sz="4" w:space="0"/>
            </w:tcBorders>
            <w:noWrap w:val="0"/>
            <w:vAlign w:val="center"/>
          </w:tcPr>
          <w:p w14:paraId="04138316">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auto"/>
                <w:sz w:val="20"/>
                <w:szCs w:val="20"/>
                <w:lang w:val="en-US" w:eastAsia="zh-CN"/>
              </w:rPr>
              <w:t>控制艾滋病等传染病经血液传播</w:t>
            </w:r>
          </w:p>
        </w:tc>
        <w:tc>
          <w:tcPr>
            <w:tcW w:w="1311" w:type="dxa"/>
            <w:tcBorders>
              <w:top w:val="nil"/>
              <w:left w:val="nil"/>
              <w:bottom w:val="single" w:color="auto" w:sz="4" w:space="0"/>
              <w:right w:val="single" w:color="auto" w:sz="4" w:space="0"/>
            </w:tcBorders>
            <w:noWrap w:val="0"/>
            <w:vAlign w:val="center"/>
          </w:tcPr>
          <w:p w14:paraId="1816B26C">
            <w:pPr>
              <w:widowControl/>
              <w:spacing w:line="240" w:lineRule="exact"/>
              <w:jc w:val="left"/>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r>
              <w:rPr>
                <w:rFonts w:hint="eastAsia" w:ascii="仿宋_GB2312" w:hAnsi="仿宋_GB2312" w:eastAsia="仿宋_GB2312" w:cs="仿宋_GB2312"/>
                <w:color w:val="auto"/>
                <w:sz w:val="20"/>
                <w:szCs w:val="20"/>
                <w:lang w:val="en-US" w:eastAsia="zh-CN"/>
              </w:rPr>
              <w:t>得到有效控制</w:t>
            </w:r>
          </w:p>
        </w:tc>
        <w:tc>
          <w:tcPr>
            <w:tcW w:w="1269" w:type="dxa"/>
            <w:tcBorders>
              <w:top w:val="nil"/>
              <w:left w:val="nil"/>
              <w:bottom w:val="single" w:color="auto" w:sz="4" w:space="0"/>
              <w:right w:val="single" w:color="auto" w:sz="4" w:space="0"/>
            </w:tcBorders>
            <w:noWrap w:val="0"/>
            <w:vAlign w:val="center"/>
          </w:tcPr>
          <w:p w14:paraId="6BF09F56">
            <w:pPr>
              <w:widowControl/>
              <w:spacing w:line="240" w:lineRule="exact"/>
              <w:jc w:val="left"/>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r>
              <w:rPr>
                <w:rFonts w:hint="eastAsia" w:ascii="仿宋_GB2312" w:hAnsi="仿宋_GB2312" w:eastAsia="仿宋_GB2312" w:cs="仿宋_GB2312"/>
                <w:color w:val="auto"/>
                <w:sz w:val="20"/>
                <w:szCs w:val="20"/>
                <w:lang w:val="en-US" w:eastAsia="zh-CN"/>
              </w:rPr>
              <w:t>提高血液检测质量，确保临床用血安全，维护社会稳定</w:t>
            </w:r>
          </w:p>
        </w:tc>
        <w:tc>
          <w:tcPr>
            <w:tcW w:w="716" w:type="dxa"/>
            <w:tcBorders>
              <w:top w:val="nil"/>
              <w:left w:val="nil"/>
              <w:bottom w:val="single" w:color="auto" w:sz="4" w:space="0"/>
              <w:right w:val="single" w:color="auto" w:sz="4" w:space="0"/>
            </w:tcBorders>
            <w:noWrap w:val="0"/>
            <w:vAlign w:val="center"/>
          </w:tcPr>
          <w:p w14:paraId="1AED9D45">
            <w:pPr>
              <w:widowControl/>
              <w:spacing w:line="240" w:lineRule="exact"/>
              <w:jc w:val="left"/>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　</w:t>
            </w:r>
            <w:r>
              <w:rPr>
                <w:rFonts w:hint="eastAsia" w:ascii="仿宋_GB2312" w:hAnsi="仿宋_GB2312" w:eastAsia="仿宋_GB2312" w:cs="仿宋_GB2312"/>
                <w:color w:val="000000"/>
                <w:sz w:val="20"/>
                <w:szCs w:val="20"/>
                <w:highlight w:val="none"/>
                <w:lang w:val="en-US" w:eastAsia="zh-CN"/>
              </w:rPr>
              <w:t>5</w:t>
            </w:r>
          </w:p>
        </w:tc>
        <w:tc>
          <w:tcPr>
            <w:tcW w:w="873" w:type="dxa"/>
            <w:tcBorders>
              <w:top w:val="nil"/>
              <w:left w:val="nil"/>
              <w:bottom w:val="single" w:color="auto" w:sz="4" w:space="0"/>
              <w:right w:val="single" w:color="auto" w:sz="4" w:space="0"/>
            </w:tcBorders>
            <w:noWrap w:val="0"/>
            <w:vAlign w:val="center"/>
          </w:tcPr>
          <w:p w14:paraId="5EB0CA77">
            <w:pPr>
              <w:widowControl/>
              <w:spacing w:line="240" w:lineRule="exact"/>
              <w:jc w:val="left"/>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　</w:t>
            </w:r>
            <w:r>
              <w:rPr>
                <w:rFonts w:hint="eastAsia" w:ascii="仿宋_GB2312" w:hAnsi="仿宋_GB2312" w:eastAsia="仿宋_GB2312" w:cs="仿宋_GB2312"/>
                <w:color w:val="000000"/>
                <w:sz w:val="20"/>
                <w:szCs w:val="20"/>
                <w:highlight w:val="none"/>
                <w:lang w:val="en-US" w:eastAsia="zh-CN"/>
              </w:rPr>
              <w:t>5</w:t>
            </w:r>
          </w:p>
        </w:tc>
        <w:tc>
          <w:tcPr>
            <w:tcW w:w="1446" w:type="dxa"/>
            <w:tcBorders>
              <w:top w:val="nil"/>
              <w:left w:val="nil"/>
              <w:bottom w:val="single" w:color="auto" w:sz="4" w:space="0"/>
              <w:right w:val="single" w:color="auto" w:sz="4" w:space="0"/>
            </w:tcBorders>
            <w:noWrap w:val="0"/>
            <w:vAlign w:val="center"/>
          </w:tcPr>
          <w:p w14:paraId="409E9457">
            <w:pPr>
              <w:widowControl/>
              <w:spacing w:line="240" w:lineRule="exact"/>
              <w:jc w:val="left"/>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14:paraId="566A7087">
        <w:tblPrEx>
          <w:tblCellMar>
            <w:top w:w="0" w:type="dxa"/>
            <w:left w:w="108" w:type="dxa"/>
            <w:bottom w:w="0" w:type="dxa"/>
            <w:right w:w="108" w:type="dxa"/>
          </w:tblCellMar>
        </w:tblPrEx>
        <w:trPr>
          <w:trHeight w:val="267" w:hRule="atLeast"/>
          <w:jc w:val="center"/>
        </w:trPr>
        <w:tc>
          <w:tcPr>
            <w:tcW w:w="1080" w:type="dxa"/>
            <w:vMerge w:val="continue"/>
            <w:tcBorders>
              <w:left w:val="single" w:color="auto" w:sz="4" w:space="0"/>
              <w:right w:val="single" w:color="auto" w:sz="4" w:space="0"/>
            </w:tcBorders>
            <w:noWrap w:val="0"/>
            <w:vAlign w:val="center"/>
          </w:tcPr>
          <w:p w14:paraId="1F7552B1">
            <w:pPr>
              <w:spacing w:line="240" w:lineRule="exact"/>
              <w:jc w:val="left"/>
              <w:rPr>
                <w:rFonts w:hint="eastAsia" w:ascii="仿宋_GB2312" w:hAnsi="仿宋_GB2312" w:eastAsia="仿宋_GB2312" w:cs="仿宋_GB2312"/>
                <w:color w:val="000000"/>
                <w:sz w:val="20"/>
                <w:szCs w:val="20"/>
                <w:highlight w:val="none"/>
              </w:rPr>
            </w:pPr>
          </w:p>
        </w:tc>
        <w:tc>
          <w:tcPr>
            <w:tcW w:w="1080" w:type="dxa"/>
            <w:vMerge w:val="continue"/>
            <w:tcBorders>
              <w:left w:val="nil"/>
              <w:right w:val="single" w:color="auto" w:sz="4" w:space="0"/>
            </w:tcBorders>
            <w:noWrap w:val="0"/>
            <w:vAlign w:val="center"/>
          </w:tcPr>
          <w:p w14:paraId="3528A01D">
            <w:pPr>
              <w:spacing w:line="240" w:lineRule="exact"/>
              <w:jc w:val="left"/>
              <w:rPr>
                <w:rFonts w:hint="eastAsia" w:ascii="仿宋_GB2312" w:hAnsi="仿宋_GB2312" w:eastAsia="仿宋_GB2312" w:cs="仿宋_GB2312"/>
                <w:color w:val="000000"/>
                <w:sz w:val="20"/>
                <w:szCs w:val="20"/>
                <w:highlight w:val="none"/>
              </w:rPr>
            </w:pPr>
          </w:p>
        </w:tc>
        <w:tc>
          <w:tcPr>
            <w:tcW w:w="1034" w:type="dxa"/>
            <w:vMerge w:val="continue"/>
            <w:tcBorders>
              <w:left w:val="nil"/>
              <w:bottom w:val="single" w:color="auto" w:sz="4" w:space="0"/>
              <w:right w:val="single" w:color="auto" w:sz="4" w:space="0"/>
            </w:tcBorders>
            <w:noWrap w:val="0"/>
            <w:vAlign w:val="center"/>
          </w:tcPr>
          <w:p w14:paraId="21AD3499">
            <w:pPr>
              <w:widowControl/>
              <w:spacing w:line="240" w:lineRule="exact"/>
              <w:jc w:val="center"/>
              <w:rPr>
                <w:rFonts w:hint="eastAsia" w:ascii="仿宋_GB2312" w:hAnsi="仿宋_GB2312" w:eastAsia="仿宋_GB2312" w:cs="仿宋_GB2312"/>
                <w:color w:val="000000"/>
                <w:sz w:val="20"/>
                <w:szCs w:val="20"/>
                <w:highlight w:val="none"/>
              </w:rPr>
            </w:pPr>
          </w:p>
        </w:tc>
        <w:tc>
          <w:tcPr>
            <w:tcW w:w="1270" w:type="dxa"/>
            <w:tcBorders>
              <w:top w:val="nil"/>
              <w:left w:val="nil"/>
              <w:bottom w:val="single" w:color="auto" w:sz="4" w:space="0"/>
              <w:right w:val="single" w:color="auto" w:sz="4" w:space="0"/>
            </w:tcBorders>
            <w:noWrap w:val="0"/>
            <w:vAlign w:val="center"/>
          </w:tcPr>
          <w:p w14:paraId="2F78ADF4">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w:t>
            </w:r>
          </w:p>
        </w:tc>
        <w:tc>
          <w:tcPr>
            <w:tcW w:w="1311" w:type="dxa"/>
            <w:tcBorders>
              <w:top w:val="nil"/>
              <w:left w:val="nil"/>
              <w:bottom w:val="single" w:color="auto" w:sz="4" w:space="0"/>
              <w:right w:val="single" w:color="auto" w:sz="4" w:space="0"/>
            </w:tcBorders>
            <w:noWrap w:val="0"/>
            <w:vAlign w:val="center"/>
          </w:tcPr>
          <w:p w14:paraId="080A3868">
            <w:pPr>
              <w:widowControl/>
              <w:spacing w:line="240" w:lineRule="exact"/>
              <w:jc w:val="left"/>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269" w:type="dxa"/>
            <w:tcBorders>
              <w:top w:val="nil"/>
              <w:left w:val="nil"/>
              <w:bottom w:val="single" w:color="auto" w:sz="4" w:space="0"/>
              <w:right w:val="single" w:color="auto" w:sz="4" w:space="0"/>
            </w:tcBorders>
            <w:noWrap w:val="0"/>
            <w:vAlign w:val="center"/>
          </w:tcPr>
          <w:p w14:paraId="65054D56">
            <w:pPr>
              <w:widowControl/>
              <w:spacing w:line="240" w:lineRule="exact"/>
              <w:jc w:val="left"/>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716" w:type="dxa"/>
            <w:tcBorders>
              <w:top w:val="nil"/>
              <w:left w:val="nil"/>
              <w:bottom w:val="single" w:color="auto" w:sz="4" w:space="0"/>
              <w:right w:val="single" w:color="auto" w:sz="4" w:space="0"/>
            </w:tcBorders>
            <w:noWrap w:val="0"/>
            <w:vAlign w:val="center"/>
          </w:tcPr>
          <w:p w14:paraId="009F66EC">
            <w:pPr>
              <w:widowControl/>
              <w:spacing w:line="240" w:lineRule="exact"/>
              <w:jc w:val="left"/>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873" w:type="dxa"/>
            <w:tcBorders>
              <w:top w:val="nil"/>
              <w:left w:val="nil"/>
              <w:bottom w:val="single" w:color="auto" w:sz="4" w:space="0"/>
              <w:right w:val="single" w:color="auto" w:sz="4" w:space="0"/>
            </w:tcBorders>
            <w:noWrap w:val="0"/>
            <w:vAlign w:val="center"/>
          </w:tcPr>
          <w:p w14:paraId="6453798C">
            <w:pPr>
              <w:widowControl/>
              <w:spacing w:line="240" w:lineRule="exact"/>
              <w:jc w:val="left"/>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446" w:type="dxa"/>
            <w:tcBorders>
              <w:top w:val="nil"/>
              <w:left w:val="nil"/>
              <w:bottom w:val="single" w:color="auto" w:sz="4" w:space="0"/>
              <w:right w:val="single" w:color="auto" w:sz="4" w:space="0"/>
            </w:tcBorders>
            <w:noWrap w:val="0"/>
            <w:vAlign w:val="center"/>
          </w:tcPr>
          <w:p w14:paraId="35D48EA5">
            <w:pPr>
              <w:widowControl/>
              <w:spacing w:line="240" w:lineRule="exact"/>
              <w:jc w:val="left"/>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14:paraId="57511D45">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14:paraId="3114AF6C">
            <w:pPr>
              <w:spacing w:line="240" w:lineRule="exact"/>
              <w:jc w:val="left"/>
              <w:rPr>
                <w:rFonts w:hint="eastAsia" w:ascii="仿宋_GB2312" w:hAnsi="仿宋_GB2312" w:eastAsia="仿宋_GB2312" w:cs="仿宋_GB2312"/>
                <w:color w:val="000000"/>
                <w:sz w:val="20"/>
                <w:szCs w:val="20"/>
                <w:highlight w:val="none"/>
              </w:rPr>
            </w:pPr>
          </w:p>
        </w:tc>
        <w:tc>
          <w:tcPr>
            <w:tcW w:w="1080" w:type="dxa"/>
            <w:vMerge w:val="continue"/>
            <w:tcBorders>
              <w:left w:val="nil"/>
              <w:right w:val="single" w:color="auto" w:sz="4" w:space="0"/>
            </w:tcBorders>
            <w:noWrap w:val="0"/>
            <w:vAlign w:val="center"/>
          </w:tcPr>
          <w:p w14:paraId="11E925D4">
            <w:pPr>
              <w:spacing w:line="240" w:lineRule="exact"/>
              <w:jc w:val="left"/>
              <w:rPr>
                <w:rFonts w:hint="eastAsia" w:ascii="仿宋_GB2312" w:hAnsi="仿宋_GB2312" w:eastAsia="仿宋_GB2312" w:cs="仿宋_GB2312"/>
                <w:color w:val="000000"/>
                <w:sz w:val="20"/>
                <w:szCs w:val="20"/>
                <w:highlight w:val="none"/>
              </w:rPr>
            </w:pPr>
          </w:p>
        </w:tc>
        <w:tc>
          <w:tcPr>
            <w:tcW w:w="1034" w:type="dxa"/>
            <w:vMerge w:val="restart"/>
            <w:tcBorders>
              <w:top w:val="nil"/>
              <w:left w:val="nil"/>
              <w:right w:val="single" w:color="auto" w:sz="4" w:space="0"/>
            </w:tcBorders>
            <w:noWrap w:val="0"/>
            <w:vAlign w:val="center"/>
          </w:tcPr>
          <w:p w14:paraId="1996C16D">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生态效</w:t>
            </w:r>
          </w:p>
          <w:p w14:paraId="49853B67">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益指标</w:t>
            </w:r>
          </w:p>
        </w:tc>
        <w:tc>
          <w:tcPr>
            <w:tcW w:w="1270" w:type="dxa"/>
            <w:tcBorders>
              <w:top w:val="nil"/>
              <w:left w:val="nil"/>
              <w:bottom w:val="single" w:color="auto" w:sz="4" w:space="0"/>
              <w:right w:val="single" w:color="auto" w:sz="4" w:space="0"/>
            </w:tcBorders>
            <w:noWrap w:val="0"/>
            <w:vAlign w:val="center"/>
          </w:tcPr>
          <w:p w14:paraId="6136A892">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auto"/>
                <w:sz w:val="20"/>
                <w:szCs w:val="20"/>
                <w:lang w:val="en-US" w:eastAsia="zh-CN"/>
              </w:rPr>
              <w:t>对自然环境造成的影响</w:t>
            </w:r>
          </w:p>
        </w:tc>
        <w:tc>
          <w:tcPr>
            <w:tcW w:w="1311" w:type="dxa"/>
            <w:tcBorders>
              <w:top w:val="nil"/>
              <w:left w:val="nil"/>
              <w:bottom w:val="single" w:color="auto" w:sz="4" w:space="0"/>
              <w:right w:val="single" w:color="auto" w:sz="4" w:space="0"/>
            </w:tcBorders>
            <w:noWrap w:val="0"/>
            <w:vAlign w:val="center"/>
          </w:tcPr>
          <w:p w14:paraId="3D0798EB">
            <w:pPr>
              <w:widowControl/>
              <w:spacing w:line="240" w:lineRule="exact"/>
              <w:jc w:val="left"/>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r>
              <w:rPr>
                <w:rFonts w:hint="eastAsia" w:ascii="仿宋_GB2312" w:hAnsi="仿宋_GB2312" w:eastAsia="仿宋_GB2312" w:cs="仿宋_GB2312"/>
                <w:color w:val="auto"/>
                <w:sz w:val="20"/>
                <w:szCs w:val="20"/>
                <w:lang w:val="en-US" w:eastAsia="zh-CN"/>
              </w:rPr>
              <w:t>对自然环境无不良影响</w:t>
            </w:r>
          </w:p>
        </w:tc>
        <w:tc>
          <w:tcPr>
            <w:tcW w:w="1269" w:type="dxa"/>
            <w:tcBorders>
              <w:top w:val="nil"/>
              <w:left w:val="nil"/>
              <w:bottom w:val="single" w:color="auto" w:sz="4" w:space="0"/>
              <w:right w:val="single" w:color="auto" w:sz="4" w:space="0"/>
            </w:tcBorders>
            <w:noWrap w:val="0"/>
            <w:vAlign w:val="center"/>
          </w:tcPr>
          <w:p w14:paraId="23D32C6B">
            <w:pPr>
              <w:widowControl/>
              <w:spacing w:line="240" w:lineRule="exact"/>
              <w:jc w:val="left"/>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r>
              <w:rPr>
                <w:rFonts w:hint="eastAsia" w:ascii="仿宋_GB2312" w:hAnsi="仿宋_GB2312" w:eastAsia="仿宋_GB2312" w:cs="仿宋_GB2312"/>
                <w:color w:val="auto"/>
                <w:sz w:val="20"/>
                <w:szCs w:val="20"/>
                <w:lang w:val="en-US" w:eastAsia="zh-CN"/>
              </w:rPr>
              <w:t>采供血医疗废弃物按标准操作处理，对自然环境无不良影响</w:t>
            </w:r>
          </w:p>
        </w:tc>
        <w:tc>
          <w:tcPr>
            <w:tcW w:w="716" w:type="dxa"/>
            <w:tcBorders>
              <w:top w:val="nil"/>
              <w:left w:val="nil"/>
              <w:bottom w:val="single" w:color="auto" w:sz="4" w:space="0"/>
              <w:right w:val="single" w:color="auto" w:sz="4" w:space="0"/>
            </w:tcBorders>
            <w:noWrap w:val="0"/>
            <w:vAlign w:val="center"/>
          </w:tcPr>
          <w:p w14:paraId="5852C9F2">
            <w:pPr>
              <w:widowControl/>
              <w:spacing w:line="240" w:lineRule="exact"/>
              <w:jc w:val="left"/>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　</w:t>
            </w:r>
            <w:r>
              <w:rPr>
                <w:rFonts w:hint="eastAsia" w:ascii="仿宋_GB2312" w:hAnsi="仿宋_GB2312" w:eastAsia="仿宋_GB2312" w:cs="仿宋_GB2312"/>
                <w:color w:val="000000"/>
                <w:sz w:val="20"/>
                <w:szCs w:val="20"/>
                <w:highlight w:val="none"/>
                <w:lang w:val="en-US" w:eastAsia="zh-CN"/>
              </w:rPr>
              <w:t>5</w:t>
            </w:r>
          </w:p>
        </w:tc>
        <w:tc>
          <w:tcPr>
            <w:tcW w:w="873" w:type="dxa"/>
            <w:tcBorders>
              <w:top w:val="nil"/>
              <w:left w:val="nil"/>
              <w:bottom w:val="single" w:color="auto" w:sz="4" w:space="0"/>
              <w:right w:val="single" w:color="auto" w:sz="4" w:space="0"/>
            </w:tcBorders>
            <w:noWrap w:val="0"/>
            <w:vAlign w:val="center"/>
          </w:tcPr>
          <w:p w14:paraId="79643300">
            <w:pPr>
              <w:widowControl/>
              <w:spacing w:line="240" w:lineRule="exact"/>
              <w:jc w:val="left"/>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　</w:t>
            </w:r>
            <w:r>
              <w:rPr>
                <w:rFonts w:hint="eastAsia" w:ascii="仿宋_GB2312" w:hAnsi="仿宋_GB2312" w:eastAsia="仿宋_GB2312" w:cs="仿宋_GB2312"/>
                <w:color w:val="000000"/>
                <w:sz w:val="20"/>
                <w:szCs w:val="20"/>
                <w:highlight w:val="none"/>
                <w:lang w:val="en-US" w:eastAsia="zh-CN"/>
              </w:rPr>
              <w:t>5</w:t>
            </w:r>
          </w:p>
        </w:tc>
        <w:tc>
          <w:tcPr>
            <w:tcW w:w="1446" w:type="dxa"/>
            <w:tcBorders>
              <w:top w:val="nil"/>
              <w:left w:val="nil"/>
              <w:bottom w:val="single" w:color="auto" w:sz="4" w:space="0"/>
              <w:right w:val="single" w:color="auto" w:sz="4" w:space="0"/>
            </w:tcBorders>
            <w:noWrap w:val="0"/>
            <w:vAlign w:val="center"/>
          </w:tcPr>
          <w:p w14:paraId="40819DD8">
            <w:pPr>
              <w:widowControl/>
              <w:spacing w:line="240" w:lineRule="exact"/>
              <w:jc w:val="left"/>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14:paraId="06D0990F">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14:paraId="444840E3">
            <w:pPr>
              <w:spacing w:line="240" w:lineRule="exact"/>
              <w:jc w:val="left"/>
              <w:rPr>
                <w:rFonts w:hint="eastAsia" w:ascii="仿宋_GB2312" w:hAnsi="仿宋_GB2312" w:eastAsia="仿宋_GB2312" w:cs="仿宋_GB2312"/>
                <w:color w:val="000000"/>
                <w:sz w:val="20"/>
                <w:szCs w:val="20"/>
                <w:highlight w:val="none"/>
              </w:rPr>
            </w:pPr>
          </w:p>
        </w:tc>
        <w:tc>
          <w:tcPr>
            <w:tcW w:w="1080" w:type="dxa"/>
            <w:vMerge w:val="continue"/>
            <w:tcBorders>
              <w:left w:val="nil"/>
              <w:right w:val="single" w:color="auto" w:sz="4" w:space="0"/>
            </w:tcBorders>
            <w:noWrap w:val="0"/>
            <w:vAlign w:val="center"/>
          </w:tcPr>
          <w:p w14:paraId="3E49339B">
            <w:pPr>
              <w:spacing w:line="240" w:lineRule="exact"/>
              <w:jc w:val="left"/>
              <w:rPr>
                <w:rFonts w:hint="eastAsia" w:ascii="仿宋_GB2312" w:hAnsi="仿宋_GB2312" w:eastAsia="仿宋_GB2312" w:cs="仿宋_GB2312"/>
                <w:color w:val="000000"/>
                <w:sz w:val="20"/>
                <w:szCs w:val="20"/>
                <w:highlight w:val="none"/>
              </w:rPr>
            </w:pPr>
          </w:p>
        </w:tc>
        <w:tc>
          <w:tcPr>
            <w:tcW w:w="1034" w:type="dxa"/>
            <w:vMerge w:val="continue"/>
            <w:tcBorders>
              <w:left w:val="nil"/>
              <w:right w:val="single" w:color="auto" w:sz="4" w:space="0"/>
            </w:tcBorders>
            <w:noWrap w:val="0"/>
            <w:vAlign w:val="center"/>
          </w:tcPr>
          <w:p w14:paraId="74DBD21C">
            <w:pPr>
              <w:spacing w:line="240" w:lineRule="exact"/>
              <w:jc w:val="left"/>
              <w:rPr>
                <w:rFonts w:hint="eastAsia" w:ascii="仿宋_GB2312" w:hAnsi="仿宋_GB2312" w:eastAsia="仿宋_GB2312" w:cs="仿宋_GB2312"/>
                <w:color w:val="000000"/>
                <w:sz w:val="20"/>
                <w:szCs w:val="20"/>
                <w:highlight w:val="none"/>
              </w:rPr>
            </w:pPr>
          </w:p>
        </w:tc>
        <w:tc>
          <w:tcPr>
            <w:tcW w:w="1270" w:type="dxa"/>
            <w:tcBorders>
              <w:top w:val="nil"/>
              <w:left w:val="nil"/>
              <w:bottom w:val="single" w:color="auto" w:sz="4" w:space="0"/>
              <w:right w:val="single" w:color="auto" w:sz="4" w:space="0"/>
            </w:tcBorders>
            <w:noWrap w:val="0"/>
            <w:vAlign w:val="center"/>
          </w:tcPr>
          <w:p w14:paraId="07F7B799">
            <w:pPr>
              <w:widowControl/>
              <w:spacing w:line="240" w:lineRule="exact"/>
              <w:jc w:val="center"/>
              <w:rPr>
                <w:rFonts w:hint="eastAsia" w:ascii="仿宋_GB2312" w:hAnsi="仿宋_GB2312" w:eastAsia="仿宋_GB2312" w:cs="仿宋_GB2312"/>
                <w:color w:val="000000"/>
                <w:sz w:val="20"/>
                <w:szCs w:val="20"/>
                <w:highlight w:val="none"/>
              </w:rPr>
            </w:pPr>
          </w:p>
        </w:tc>
        <w:tc>
          <w:tcPr>
            <w:tcW w:w="1311" w:type="dxa"/>
            <w:tcBorders>
              <w:top w:val="nil"/>
              <w:left w:val="nil"/>
              <w:bottom w:val="single" w:color="auto" w:sz="4" w:space="0"/>
              <w:right w:val="single" w:color="auto" w:sz="4" w:space="0"/>
            </w:tcBorders>
            <w:noWrap w:val="0"/>
            <w:vAlign w:val="center"/>
          </w:tcPr>
          <w:p w14:paraId="36BAD9DC">
            <w:pPr>
              <w:widowControl/>
              <w:spacing w:line="240" w:lineRule="exact"/>
              <w:jc w:val="left"/>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269" w:type="dxa"/>
            <w:tcBorders>
              <w:top w:val="nil"/>
              <w:left w:val="nil"/>
              <w:bottom w:val="single" w:color="auto" w:sz="4" w:space="0"/>
              <w:right w:val="single" w:color="auto" w:sz="4" w:space="0"/>
            </w:tcBorders>
            <w:noWrap w:val="0"/>
            <w:vAlign w:val="center"/>
          </w:tcPr>
          <w:p w14:paraId="1361990A">
            <w:pPr>
              <w:widowControl/>
              <w:spacing w:line="240" w:lineRule="exact"/>
              <w:jc w:val="left"/>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716" w:type="dxa"/>
            <w:tcBorders>
              <w:top w:val="nil"/>
              <w:left w:val="nil"/>
              <w:bottom w:val="single" w:color="auto" w:sz="4" w:space="0"/>
              <w:right w:val="single" w:color="auto" w:sz="4" w:space="0"/>
            </w:tcBorders>
            <w:noWrap w:val="0"/>
            <w:vAlign w:val="center"/>
          </w:tcPr>
          <w:p w14:paraId="55F164D5">
            <w:pPr>
              <w:widowControl/>
              <w:spacing w:line="240" w:lineRule="exact"/>
              <w:jc w:val="left"/>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873" w:type="dxa"/>
            <w:tcBorders>
              <w:top w:val="nil"/>
              <w:left w:val="nil"/>
              <w:bottom w:val="single" w:color="auto" w:sz="4" w:space="0"/>
              <w:right w:val="single" w:color="auto" w:sz="4" w:space="0"/>
            </w:tcBorders>
            <w:noWrap w:val="0"/>
            <w:vAlign w:val="center"/>
          </w:tcPr>
          <w:p w14:paraId="60B4A7F6">
            <w:pPr>
              <w:widowControl/>
              <w:spacing w:line="240" w:lineRule="exact"/>
              <w:jc w:val="left"/>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446" w:type="dxa"/>
            <w:tcBorders>
              <w:top w:val="nil"/>
              <w:left w:val="nil"/>
              <w:bottom w:val="single" w:color="auto" w:sz="4" w:space="0"/>
              <w:right w:val="single" w:color="auto" w:sz="4" w:space="0"/>
            </w:tcBorders>
            <w:noWrap w:val="0"/>
            <w:vAlign w:val="center"/>
          </w:tcPr>
          <w:p w14:paraId="1C9A12D3">
            <w:pPr>
              <w:widowControl/>
              <w:spacing w:line="240" w:lineRule="exact"/>
              <w:jc w:val="left"/>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14:paraId="60425C60">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14:paraId="28C457B5">
            <w:pPr>
              <w:widowControl/>
              <w:spacing w:line="240" w:lineRule="exact"/>
              <w:jc w:val="left"/>
              <w:rPr>
                <w:rFonts w:hint="eastAsia" w:ascii="仿宋_GB2312" w:hAnsi="仿宋_GB2312" w:eastAsia="仿宋_GB2312" w:cs="仿宋_GB2312"/>
                <w:color w:val="000000"/>
                <w:sz w:val="20"/>
                <w:szCs w:val="20"/>
                <w:highlight w:val="none"/>
              </w:rPr>
            </w:pPr>
          </w:p>
        </w:tc>
        <w:tc>
          <w:tcPr>
            <w:tcW w:w="1080" w:type="dxa"/>
            <w:vMerge w:val="continue"/>
            <w:tcBorders>
              <w:left w:val="nil"/>
              <w:right w:val="single" w:color="auto" w:sz="4" w:space="0"/>
            </w:tcBorders>
            <w:noWrap w:val="0"/>
            <w:vAlign w:val="center"/>
          </w:tcPr>
          <w:p w14:paraId="0728FE10">
            <w:pPr>
              <w:widowControl/>
              <w:spacing w:line="240" w:lineRule="exact"/>
              <w:jc w:val="left"/>
              <w:rPr>
                <w:rFonts w:hint="eastAsia" w:ascii="仿宋_GB2312" w:hAnsi="仿宋_GB2312" w:eastAsia="仿宋_GB2312" w:cs="仿宋_GB2312"/>
                <w:color w:val="000000"/>
                <w:sz w:val="20"/>
                <w:szCs w:val="20"/>
                <w:highlight w:val="none"/>
              </w:rPr>
            </w:pPr>
          </w:p>
        </w:tc>
        <w:tc>
          <w:tcPr>
            <w:tcW w:w="1034" w:type="dxa"/>
            <w:vMerge w:val="continue"/>
            <w:tcBorders>
              <w:left w:val="nil"/>
              <w:bottom w:val="single" w:color="auto" w:sz="4" w:space="0"/>
              <w:right w:val="single" w:color="auto" w:sz="4" w:space="0"/>
            </w:tcBorders>
            <w:noWrap w:val="0"/>
            <w:vAlign w:val="center"/>
          </w:tcPr>
          <w:p w14:paraId="688B843A">
            <w:pPr>
              <w:widowControl/>
              <w:spacing w:line="240" w:lineRule="exact"/>
              <w:jc w:val="left"/>
              <w:rPr>
                <w:rFonts w:hint="eastAsia" w:ascii="仿宋_GB2312" w:hAnsi="仿宋_GB2312" w:eastAsia="仿宋_GB2312" w:cs="仿宋_GB2312"/>
                <w:color w:val="000000"/>
                <w:sz w:val="20"/>
                <w:szCs w:val="20"/>
                <w:highlight w:val="none"/>
              </w:rPr>
            </w:pPr>
          </w:p>
        </w:tc>
        <w:tc>
          <w:tcPr>
            <w:tcW w:w="1270" w:type="dxa"/>
            <w:tcBorders>
              <w:top w:val="nil"/>
              <w:left w:val="nil"/>
              <w:bottom w:val="single" w:color="auto" w:sz="4" w:space="0"/>
              <w:right w:val="single" w:color="auto" w:sz="4" w:space="0"/>
            </w:tcBorders>
            <w:noWrap w:val="0"/>
            <w:vAlign w:val="center"/>
          </w:tcPr>
          <w:p w14:paraId="145F1EF0">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w:t>
            </w:r>
          </w:p>
        </w:tc>
        <w:tc>
          <w:tcPr>
            <w:tcW w:w="1311" w:type="dxa"/>
            <w:tcBorders>
              <w:top w:val="nil"/>
              <w:left w:val="nil"/>
              <w:bottom w:val="single" w:color="auto" w:sz="4" w:space="0"/>
              <w:right w:val="single" w:color="auto" w:sz="4" w:space="0"/>
            </w:tcBorders>
            <w:noWrap w:val="0"/>
            <w:vAlign w:val="center"/>
          </w:tcPr>
          <w:p w14:paraId="572C7A86">
            <w:pPr>
              <w:widowControl/>
              <w:spacing w:line="240" w:lineRule="exact"/>
              <w:jc w:val="left"/>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269" w:type="dxa"/>
            <w:tcBorders>
              <w:top w:val="nil"/>
              <w:left w:val="nil"/>
              <w:bottom w:val="single" w:color="auto" w:sz="4" w:space="0"/>
              <w:right w:val="single" w:color="auto" w:sz="4" w:space="0"/>
            </w:tcBorders>
            <w:noWrap w:val="0"/>
            <w:vAlign w:val="center"/>
          </w:tcPr>
          <w:p w14:paraId="1BC1755C">
            <w:pPr>
              <w:widowControl/>
              <w:spacing w:line="240" w:lineRule="exact"/>
              <w:jc w:val="left"/>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716" w:type="dxa"/>
            <w:tcBorders>
              <w:top w:val="nil"/>
              <w:left w:val="nil"/>
              <w:bottom w:val="single" w:color="auto" w:sz="4" w:space="0"/>
              <w:right w:val="single" w:color="auto" w:sz="4" w:space="0"/>
            </w:tcBorders>
            <w:noWrap w:val="0"/>
            <w:vAlign w:val="center"/>
          </w:tcPr>
          <w:p w14:paraId="3E6D7BA2">
            <w:pPr>
              <w:widowControl/>
              <w:spacing w:line="240" w:lineRule="exact"/>
              <w:jc w:val="left"/>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873" w:type="dxa"/>
            <w:tcBorders>
              <w:top w:val="nil"/>
              <w:left w:val="nil"/>
              <w:bottom w:val="single" w:color="auto" w:sz="4" w:space="0"/>
              <w:right w:val="single" w:color="auto" w:sz="4" w:space="0"/>
            </w:tcBorders>
            <w:noWrap w:val="0"/>
            <w:vAlign w:val="center"/>
          </w:tcPr>
          <w:p w14:paraId="20177A0F">
            <w:pPr>
              <w:widowControl/>
              <w:spacing w:line="240" w:lineRule="exact"/>
              <w:jc w:val="left"/>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446" w:type="dxa"/>
            <w:tcBorders>
              <w:top w:val="nil"/>
              <w:left w:val="nil"/>
              <w:bottom w:val="single" w:color="auto" w:sz="4" w:space="0"/>
              <w:right w:val="single" w:color="auto" w:sz="4" w:space="0"/>
            </w:tcBorders>
            <w:noWrap w:val="0"/>
            <w:vAlign w:val="center"/>
          </w:tcPr>
          <w:p w14:paraId="337209D8">
            <w:pPr>
              <w:widowControl/>
              <w:spacing w:line="240" w:lineRule="exact"/>
              <w:jc w:val="left"/>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14:paraId="55B5271C">
        <w:tblPrEx>
          <w:tblCellMar>
            <w:top w:w="0" w:type="dxa"/>
            <w:left w:w="108" w:type="dxa"/>
            <w:bottom w:w="0" w:type="dxa"/>
            <w:right w:w="108" w:type="dxa"/>
          </w:tblCellMar>
        </w:tblPrEx>
        <w:trPr>
          <w:trHeight w:val="290" w:hRule="atLeast"/>
          <w:jc w:val="center"/>
        </w:trPr>
        <w:tc>
          <w:tcPr>
            <w:tcW w:w="1080" w:type="dxa"/>
            <w:vMerge w:val="continue"/>
            <w:tcBorders>
              <w:left w:val="single" w:color="auto" w:sz="4" w:space="0"/>
              <w:right w:val="single" w:color="auto" w:sz="4" w:space="0"/>
            </w:tcBorders>
            <w:noWrap w:val="0"/>
            <w:vAlign w:val="center"/>
          </w:tcPr>
          <w:p w14:paraId="0A88B88B">
            <w:pPr>
              <w:widowControl/>
              <w:spacing w:line="240" w:lineRule="exact"/>
              <w:jc w:val="center"/>
              <w:rPr>
                <w:rFonts w:hint="eastAsia" w:ascii="仿宋_GB2312" w:hAnsi="仿宋_GB2312" w:eastAsia="仿宋_GB2312" w:cs="仿宋_GB2312"/>
                <w:color w:val="000000"/>
                <w:sz w:val="20"/>
                <w:szCs w:val="20"/>
                <w:highlight w:val="none"/>
              </w:rPr>
            </w:pPr>
          </w:p>
        </w:tc>
        <w:tc>
          <w:tcPr>
            <w:tcW w:w="1080" w:type="dxa"/>
            <w:vMerge w:val="continue"/>
            <w:tcBorders>
              <w:left w:val="nil"/>
              <w:right w:val="single" w:color="auto" w:sz="4" w:space="0"/>
            </w:tcBorders>
            <w:noWrap w:val="0"/>
            <w:vAlign w:val="center"/>
          </w:tcPr>
          <w:p w14:paraId="6AD220F8">
            <w:pPr>
              <w:widowControl/>
              <w:spacing w:line="240" w:lineRule="exact"/>
              <w:jc w:val="left"/>
              <w:rPr>
                <w:rFonts w:hint="eastAsia" w:ascii="仿宋_GB2312" w:hAnsi="仿宋_GB2312" w:eastAsia="仿宋_GB2312" w:cs="仿宋_GB2312"/>
                <w:color w:val="000000"/>
                <w:sz w:val="20"/>
                <w:szCs w:val="20"/>
                <w:highlight w:val="none"/>
              </w:rPr>
            </w:pPr>
          </w:p>
        </w:tc>
        <w:tc>
          <w:tcPr>
            <w:tcW w:w="1034" w:type="dxa"/>
            <w:vMerge w:val="restart"/>
            <w:tcBorders>
              <w:top w:val="single" w:color="auto" w:sz="4" w:space="0"/>
              <w:left w:val="single" w:color="auto" w:sz="4" w:space="0"/>
              <w:right w:val="single" w:color="auto" w:sz="4" w:space="0"/>
            </w:tcBorders>
            <w:noWrap w:val="0"/>
            <w:vAlign w:val="center"/>
          </w:tcPr>
          <w:p w14:paraId="6F0C245E">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可持续影响指标</w:t>
            </w:r>
          </w:p>
        </w:tc>
        <w:tc>
          <w:tcPr>
            <w:tcW w:w="1270" w:type="dxa"/>
            <w:tcBorders>
              <w:top w:val="single" w:color="auto" w:sz="4" w:space="0"/>
              <w:left w:val="single" w:color="auto" w:sz="4" w:space="0"/>
              <w:bottom w:val="single" w:color="auto" w:sz="4" w:space="0"/>
              <w:right w:val="single" w:color="auto" w:sz="4" w:space="0"/>
            </w:tcBorders>
            <w:noWrap w:val="0"/>
            <w:vAlign w:val="center"/>
          </w:tcPr>
          <w:p w14:paraId="1FAE8459">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auto"/>
                <w:sz w:val="20"/>
                <w:szCs w:val="20"/>
                <w:lang w:val="en-US" w:eastAsia="zh-CN"/>
              </w:rPr>
              <w:t>无偿献血宣传招募</w:t>
            </w:r>
          </w:p>
        </w:tc>
        <w:tc>
          <w:tcPr>
            <w:tcW w:w="1311" w:type="dxa"/>
            <w:tcBorders>
              <w:top w:val="single" w:color="auto" w:sz="4" w:space="0"/>
              <w:left w:val="single" w:color="auto" w:sz="4" w:space="0"/>
              <w:bottom w:val="single" w:color="auto" w:sz="4" w:space="0"/>
              <w:right w:val="single" w:color="auto" w:sz="4" w:space="0"/>
            </w:tcBorders>
            <w:noWrap w:val="0"/>
            <w:vAlign w:val="center"/>
          </w:tcPr>
          <w:p w14:paraId="262480B6">
            <w:pPr>
              <w:widowControl/>
              <w:spacing w:line="240" w:lineRule="exact"/>
              <w:jc w:val="left"/>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r>
              <w:rPr>
                <w:rFonts w:hint="eastAsia" w:ascii="仿宋_GB2312" w:hAnsi="仿宋_GB2312" w:eastAsia="仿宋_GB2312" w:cs="仿宋_GB2312"/>
                <w:color w:val="auto"/>
                <w:sz w:val="20"/>
                <w:szCs w:val="20"/>
                <w:lang w:val="en-US" w:eastAsia="zh-CN"/>
              </w:rPr>
              <w:t>稳定人口献血率和固定献血者比例</w:t>
            </w:r>
          </w:p>
        </w:tc>
        <w:tc>
          <w:tcPr>
            <w:tcW w:w="1269" w:type="dxa"/>
            <w:tcBorders>
              <w:top w:val="single" w:color="auto" w:sz="4" w:space="0"/>
              <w:left w:val="single" w:color="auto" w:sz="4" w:space="0"/>
              <w:bottom w:val="single" w:color="auto" w:sz="4" w:space="0"/>
              <w:right w:val="single" w:color="auto" w:sz="4" w:space="0"/>
            </w:tcBorders>
            <w:noWrap w:val="0"/>
            <w:vAlign w:val="center"/>
          </w:tcPr>
          <w:p w14:paraId="07117133">
            <w:pPr>
              <w:widowControl/>
              <w:spacing w:line="240" w:lineRule="exact"/>
              <w:jc w:val="left"/>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r>
              <w:rPr>
                <w:rFonts w:hint="eastAsia" w:ascii="仿宋_GB2312" w:hAnsi="仿宋_GB2312" w:eastAsia="仿宋_GB2312" w:cs="仿宋_GB2312"/>
                <w:color w:val="auto"/>
                <w:sz w:val="20"/>
                <w:szCs w:val="20"/>
                <w:lang w:val="en-US" w:eastAsia="zh-CN"/>
              </w:rPr>
              <w:t>稳定人口献血率和固定献血者比例，满足临床用血需求。</w:t>
            </w:r>
          </w:p>
        </w:tc>
        <w:tc>
          <w:tcPr>
            <w:tcW w:w="716" w:type="dxa"/>
            <w:tcBorders>
              <w:top w:val="single" w:color="auto" w:sz="4" w:space="0"/>
              <w:left w:val="single" w:color="auto" w:sz="4" w:space="0"/>
              <w:bottom w:val="single" w:color="auto" w:sz="4" w:space="0"/>
              <w:right w:val="single" w:color="auto" w:sz="4" w:space="0"/>
            </w:tcBorders>
            <w:noWrap w:val="0"/>
            <w:vAlign w:val="center"/>
          </w:tcPr>
          <w:p w14:paraId="5592D90A">
            <w:pPr>
              <w:widowControl/>
              <w:spacing w:line="240" w:lineRule="exact"/>
              <w:jc w:val="left"/>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　</w:t>
            </w:r>
            <w:r>
              <w:rPr>
                <w:rFonts w:hint="eastAsia" w:ascii="仿宋_GB2312" w:hAnsi="仿宋_GB2312" w:eastAsia="仿宋_GB2312" w:cs="仿宋_GB2312"/>
                <w:color w:val="000000"/>
                <w:sz w:val="20"/>
                <w:szCs w:val="20"/>
                <w:highlight w:val="none"/>
                <w:lang w:val="en-US" w:eastAsia="zh-CN"/>
              </w:rPr>
              <w:t>5</w:t>
            </w:r>
          </w:p>
        </w:tc>
        <w:tc>
          <w:tcPr>
            <w:tcW w:w="873" w:type="dxa"/>
            <w:tcBorders>
              <w:top w:val="single" w:color="auto" w:sz="4" w:space="0"/>
              <w:left w:val="single" w:color="auto" w:sz="4" w:space="0"/>
              <w:bottom w:val="single" w:color="auto" w:sz="4" w:space="0"/>
              <w:right w:val="single" w:color="auto" w:sz="4" w:space="0"/>
            </w:tcBorders>
            <w:noWrap w:val="0"/>
            <w:vAlign w:val="center"/>
          </w:tcPr>
          <w:p w14:paraId="3C701E54">
            <w:pPr>
              <w:widowControl/>
              <w:spacing w:line="240" w:lineRule="exact"/>
              <w:jc w:val="left"/>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　</w:t>
            </w:r>
            <w:r>
              <w:rPr>
                <w:rFonts w:hint="eastAsia" w:ascii="仿宋_GB2312" w:hAnsi="仿宋_GB2312" w:eastAsia="仿宋_GB2312" w:cs="仿宋_GB2312"/>
                <w:color w:val="000000"/>
                <w:sz w:val="20"/>
                <w:szCs w:val="20"/>
                <w:highlight w:val="none"/>
                <w:lang w:val="en-US" w:eastAsia="zh-CN"/>
              </w:rPr>
              <w:t>5</w:t>
            </w:r>
          </w:p>
        </w:tc>
        <w:tc>
          <w:tcPr>
            <w:tcW w:w="1446" w:type="dxa"/>
            <w:tcBorders>
              <w:top w:val="single" w:color="auto" w:sz="4" w:space="0"/>
              <w:left w:val="single" w:color="auto" w:sz="4" w:space="0"/>
              <w:bottom w:val="single" w:color="auto" w:sz="4" w:space="0"/>
              <w:right w:val="single" w:color="auto" w:sz="4" w:space="0"/>
            </w:tcBorders>
            <w:noWrap w:val="0"/>
            <w:vAlign w:val="center"/>
          </w:tcPr>
          <w:p w14:paraId="1198085A">
            <w:pPr>
              <w:widowControl/>
              <w:spacing w:line="240" w:lineRule="exact"/>
              <w:jc w:val="left"/>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14:paraId="01D67C90">
        <w:tblPrEx>
          <w:tblCellMar>
            <w:top w:w="0" w:type="dxa"/>
            <w:left w:w="108" w:type="dxa"/>
            <w:bottom w:w="0" w:type="dxa"/>
            <w:right w:w="108" w:type="dxa"/>
          </w:tblCellMar>
        </w:tblPrEx>
        <w:trPr>
          <w:trHeight w:val="270" w:hRule="atLeast"/>
          <w:jc w:val="center"/>
        </w:trPr>
        <w:tc>
          <w:tcPr>
            <w:tcW w:w="1080" w:type="dxa"/>
            <w:vMerge w:val="continue"/>
            <w:tcBorders>
              <w:left w:val="single" w:color="auto" w:sz="4" w:space="0"/>
              <w:right w:val="single" w:color="auto" w:sz="4" w:space="0"/>
            </w:tcBorders>
            <w:noWrap w:val="0"/>
            <w:vAlign w:val="center"/>
          </w:tcPr>
          <w:p w14:paraId="65EB1922">
            <w:pPr>
              <w:spacing w:line="240" w:lineRule="exact"/>
              <w:jc w:val="left"/>
              <w:rPr>
                <w:rFonts w:hint="eastAsia" w:ascii="仿宋_GB2312" w:hAnsi="仿宋_GB2312" w:eastAsia="仿宋_GB2312" w:cs="仿宋_GB2312"/>
                <w:color w:val="000000"/>
                <w:sz w:val="20"/>
                <w:szCs w:val="20"/>
                <w:highlight w:val="none"/>
              </w:rPr>
            </w:pPr>
          </w:p>
        </w:tc>
        <w:tc>
          <w:tcPr>
            <w:tcW w:w="1080" w:type="dxa"/>
            <w:vMerge w:val="continue"/>
            <w:tcBorders>
              <w:left w:val="nil"/>
              <w:right w:val="single" w:color="auto" w:sz="4" w:space="0"/>
            </w:tcBorders>
            <w:noWrap w:val="0"/>
            <w:vAlign w:val="center"/>
          </w:tcPr>
          <w:p w14:paraId="437AECB7">
            <w:pPr>
              <w:spacing w:line="240" w:lineRule="exact"/>
              <w:jc w:val="left"/>
              <w:rPr>
                <w:rFonts w:hint="eastAsia" w:ascii="仿宋_GB2312" w:hAnsi="仿宋_GB2312" w:eastAsia="仿宋_GB2312" w:cs="仿宋_GB2312"/>
                <w:color w:val="000000"/>
                <w:sz w:val="20"/>
                <w:szCs w:val="20"/>
                <w:highlight w:val="none"/>
              </w:rPr>
            </w:pPr>
          </w:p>
        </w:tc>
        <w:tc>
          <w:tcPr>
            <w:tcW w:w="1034" w:type="dxa"/>
            <w:vMerge w:val="continue"/>
            <w:tcBorders>
              <w:left w:val="single" w:color="auto" w:sz="4" w:space="0"/>
              <w:right w:val="single" w:color="auto" w:sz="4" w:space="0"/>
            </w:tcBorders>
            <w:noWrap w:val="0"/>
            <w:vAlign w:val="center"/>
          </w:tcPr>
          <w:p w14:paraId="5035877D">
            <w:pPr>
              <w:spacing w:line="240" w:lineRule="exact"/>
              <w:jc w:val="left"/>
              <w:rPr>
                <w:rFonts w:hint="eastAsia" w:ascii="仿宋_GB2312" w:hAnsi="仿宋_GB2312" w:eastAsia="仿宋_GB2312" w:cs="仿宋_GB2312"/>
                <w:color w:val="000000"/>
                <w:sz w:val="20"/>
                <w:szCs w:val="20"/>
                <w:highlight w:val="none"/>
              </w:rPr>
            </w:pPr>
          </w:p>
        </w:tc>
        <w:tc>
          <w:tcPr>
            <w:tcW w:w="1270" w:type="dxa"/>
            <w:tcBorders>
              <w:top w:val="single" w:color="auto" w:sz="4" w:space="0"/>
              <w:left w:val="nil"/>
              <w:bottom w:val="single" w:color="auto" w:sz="4" w:space="0"/>
              <w:right w:val="single" w:color="auto" w:sz="4" w:space="0"/>
            </w:tcBorders>
            <w:noWrap w:val="0"/>
            <w:vAlign w:val="center"/>
          </w:tcPr>
          <w:p w14:paraId="6523B3D9">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auto"/>
                <w:sz w:val="20"/>
                <w:szCs w:val="20"/>
                <w:lang w:val="en-US" w:eastAsia="zh-CN"/>
              </w:rPr>
              <w:t>血液质量、检测</w:t>
            </w:r>
          </w:p>
        </w:tc>
        <w:tc>
          <w:tcPr>
            <w:tcW w:w="1311" w:type="dxa"/>
            <w:tcBorders>
              <w:top w:val="single" w:color="auto" w:sz="4" w:space="0"/>
              <w:left w:val="nil"/>
              <w:bottom w:val="single" w:color="auto" w:sz="4" w:space="0"/>
              <w:right w:val="single" w:color="auto" w:sz="4" w:space="0"/>
            </w:tcBorders>
            <w:noWrap w:val="0"/>
            <w:vAlign w:val="center"/>
          </w:tcPr>
          <w:p w14:paraId="22161BA8">
            <w:pPr>
              <w:widowControl/>
              <w:spacing w:line="240" w:lineRule="exact"/>
              <w:jc w:val="left"/>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r>
              <w:rPr>
                <w:rFonts w:hint="eastAsia" w:ascii="仿宋_GB2312" w:hAnsi="仿宋_GB2312" w:eastAsia="仿宋_GB2312" w:cs="仿宋_GB2312"/>
                <w:color w:val="auto"/>
                <w:sz w:val="20"/>
                <w:szCs w:val="20"/>
                <w:lang w:val="en-US" w:eastAsia="zh-CN"/>
              </w:rPr>
              <w:t>确保临床用血安全</w:t>
            </w:r>
          </w:p>
        </w:tc>
        <w:tc>
          <w:tcPr>
            <w:tcW w:w="1269" w:type="dxa"/>
            <w:tcBorders>
              <w:top w:val="single" w:color="auto" w:sz="4" w:space="0"/>
              <w:left w:val="nil"/>
              <w:bottom w:val="single" w:color="auto" w:sz="4" w:space="0"/>
              <w:right w:val="single" w:color="auto" w:sz="4" w:space="0"/>
            </w:tcBorders>
            <w:noWrap w:val="0"/>
            <w:vAlign w:val="center"/>
          </w:tcPr>
          <w:p w14:paraId="5BFB4CA2">
            <w:pPr>
              <w:widowControl/>
              <w:spacing w:line="240" w:lineRule="exact"/>
              <w:jc w:val="left"/>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r>
              <w:rPr>
                <w:rFonts w:hint="eastAsia" w:ascii="仿宋_GB2312" w:hAnsi="仿宋_GB2312" w:eastAsia="仿宋_GB2312" w:cs="仿宋_GB2312"/>
                <w:color w:val="auto"/>
                <w:sz w:val="20"/>
                <w:szCs w:val="20"/>
                <w:lang w:val="en-US" w:eastAsia="zh-CN"/>
              </w:rPr>
              <w:t>确保临床用血安全，实现血站可持续发展。</w:t>
            </w:r>
          </w:p>
        </w:tc>
        <w:tc>
          <w:tcPr>
            <w:tcW w:w="716" w:type="dxa"/>
            <w:tcBorders>
              <w:top w:val="single" w:color="auto" w:sz="4" w:space="0"/>
              <w:left w:val="nil"/>
              <w:bottom w:val="single" w:color="auto" w:sz="4" w:space="0"/>
              <w:right w:val="single" w:color="auto" w:sz="4" w:space="0"/>
            </w:tcBorders>
            <w:noWrap w:val="0"/>
            <w:vAlign w:val="center"/>
          </w:tcPr>
          <w:p w14:paraId="2CADE04F">
            <w:pPr>
              <w:widowControl/>
              <w:spacing w:line="240" w:lineRule="exact"/>
              <w:jc w:val="left"/>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　</w:t>
            </w:r>
            <w:r>
              <w:rPr>
                <w:rFonts w:hint="eastAsia" w:ascii="仿宋_GB2312" w:hAnsi="仿宋_GB2312" w:eastAsia="仿宋_GB2312" w:cs="仿宋_GB2312"/>
                <w:color w:val="000000"/>
                <w:sz w:val="20"/>
                <w:szCs w:val="20"/>
                <w:highlight w:val="none"/>
                <w:lang w:val="en-US" w:eastAsia="zh-CN"/>
              </w:rPr>
              <w:t>5</w:t>
            </w:r>
          </w:p>
        </w:tc>
        <w:tc>
          <w:tcPr>
            <w:tcW w:w="873" w:type="dxa"/>
            <w:tcBorders>
              <w:top w:val="single" w:color="auto" w:sz="4" w:space="0"/>
              <w:left w:val="nil"/>
              <w:bottom w:val="single" w:color="auto" w:sz="4" w:space="0"/>
              <w:right w:val="single" w:color="auto" w:sz="4" w:space="0"/>
            </w:tcBorders>
            <w:noWrap w:val="0"/>
            <w:vAlign w:val="center"/>
          </w:tcPr>
          <w:p w14:paraId="7495A943">
            <w:pPr>
              <w:widowControl/>
              <w:spacing w:line="240" w:lineRule="exact"/>
              <w:jc w:val="left"/>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　</w:t>
            </w:r>
            <w:r>
              <w:rPr>
                <w:rFonts w:hint="eastAsia" w:ascii="仿宋_GB2312" w:hAnsi="仿宋_GB2312" w:eastAsia="仿宋_GB2312" w:cs="仿宋_GB2312"/>
                <w:color w:val="000000"/>
                <w:sz w:val="20"/>
                <w:szCs w:val="20"/>
                <w:highlight w:val="none"/>
                <w:lang w:val="en-US" w:eastAsia="zh-CN"/>
              </w:rPr>
              <w:t>5</w:t>
            </w:r>
          </w:p>
        </w:tc>
        <w:tc>
          <w:tcPr>
            <w:tcW w:w="1446" w:type="dxa"/>
            <w:tcBorders>
              <w:top w:val="single" w:color="auto" w:sz="4" w:space="0"/>
              <w:left w:val="nil"/>
              <w:bottom w:val="single" w:color="auto" w:sz="4" w:space="0"/>
              <w:right w:val="single" w:color="auto" w:sz="4" w:space="0"/>
            </w:tcBorders>
            <w:noWrap w:val="0"/>
            <w:vAlign w:val="center"/>
          </w:tcPr>
          <w:p w14:paraId="19B782F0">
            <w:pPr>
              <w:widowControl/>
              <w:spacing w:line="240" w:lineRule="exact"/>
              <w:jc w:val="left"/>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14:paraId="20973B0F">
        <w:tblPrEx>
          <w:tblCellMar>
            <w:top w:w="0" w:type="dxa"/>
            <w:left w:w="108" w:type="dxa"/>
            <w:bottom w:w="0" w:type="dxa"/>
            <w:right w:w="108" w:type="dxa"/>
          </w:tblCellMar>
        </w:tblPrEx>
        <w:trPr>
          <w:trHeight w:val="270" w:hRule="atLeast"/>
          <w:jc w:val="center"/>
        </w:trPr>
        <w:tc>
          <w:tcPr>
            <w:tcW w:w="1080" w:type="dxa"/>
            <w:vMerge w:val="continue"/>
            <w:tcBorders>
              <w:left w:val="single" w:color="auto" w:sz="4" w:space="0"/>
              <w:right w:val="single" w:color="auto" w:sz="4" w:space="0"/>
            </w:tcBorders>
            <w:noWrap w:val="0"/>
            <w:vAlign w:val="center"/>
          </w:tcPr>
          <w:p w14:paraId="4084D6CB">
            <w:pPr>
              <w:spacing w:line="240" w:lineRule="exact"/>
              <w:jc w:val="left"/>
              <w:rPr>
                <w:rFonts w:hint="eastAsia" w:ascii="仿宋_GB2312" w:hAnsi="仿宋_GB2312" w:eastAsia="仿宋_GB2312" w:cs="仿宋_GB2312"/>
                <w:color w:val="000000"/>
                <w:sz w:val="20"/>
                <w:szCs w:val="20"/>
                <w:highlight w:val="none"/>
              </w:rPr>
            </w:pPr>
          </w:p>
        </w:tc>
        <w:tc>
          <w:tcPr>
            <w:tcW w:w="1080" w:type="dxa"/>
            <w:vMerge w:val="continue"/>
            <w:tcBorders>
              <w:left w:val="nil"/>
              <w:bottom w:val="single" w:color="auto" w:sz="4" w:space="0"/>
              <w:right w:val="single" w:color="auto" w:sz="4" w:space="0"/>
            </w:tcBorders>
            <w:noWrap w:val="0"/>
            <w:vAlign w:val="center"/>
          </w:tcPr>
          <w:p w14:paraId="7A36DA5C">
            <w:pPr>
              <w:widowControl/>
              <w:spacing w:line="240" w:lineRule="exact"/>
              <w:jc w:val="left"/>
              <w:rPr>
                <w:rFonts w:hint="eastAsia" w:ascii="仿宋_GB2312" w:hAnsi="仿宋_GB2312" w:eastAsia="仿宋_GB2312" w:cs="仿宋_GB2312"/>
                <w:color w:val="000000"/>
                <w:sz w:val="20"/>
                <w:szCs w:val="20"/>
                <w:highlight w:val="none"/>
              </w:rPr>
            </w:pPr>
          </w:p>
        </w:tc>
        <w:tc>
          <w:tcPr>
            <w:tcW w:w="1034" w:type="dxa"/>
            <w:vMerge w:val="continue"/>
            <w:tcBorders>
              <w:left w:val="single" w:color="auto" w:sz="4" w:space="0"/>
              <w:bottom w:val="single" w:color="auto" w:sz="4" w:space="0"/>
              <w:right w:val="single" w:color="auto" w:sz="4" w:space="0"/>
            </w:tcBorders>
            <w:noWrap w:val="0"/>
            <w:vAlign w:val="center"/>
          </w:tcPr>
          <w:p w14:paraId="169DAF85">
            <w:pPr>
              <w:widowControl/>
              <w:spacing w:line="240" w:lineRule="exact"/>
              <w:jc w:val="left"/>
              <w:rPr>
                <w:rFonts w:hint="eastAsia" w:ascii="仿宋_GB2312" w:hAnsi="仿宋_GB2312" w:eastAsia="仿宋_GB2312" w:cs="仿宋_GB2312"/>
                <w:color w:val="000000"/>
                <w:sz w:val="20"/>
                <w:szCs w:val="20"/>
                <w:highlight w:val="none"/>
              </w:rPr>
            </w:pPr>
          </w:p>
        </w:tc>
        <w:tc>
          <w:tcPr>
            <w:tcW w:w="1270" w:type="dxa"/>
            <w:tcBorders>
              <w:top w:val="nil"/>
              <w:left w:val="nil"/>
              <w:bottom w:val="single" w:color="auto" w:sz="4" w:space="0"/>
              <w:right w:val="single" w:color="auto" w:sz="4" w:space="0"/>
            </w:tcBorders>
            <w:noWrap w:val="0"/>
            <w:vAlign w:val="center"/>
          </w:tcPr>
          <w:p w14:paraId="0B583CF7">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w:t>
            </w:r>
          </w:p>
        </w:tc>
        <w:tc>
          <w:tcPr>
            <w:tcW w:w="1311" w:type="dxa"/>
            <w:tcBorders>
              <w:top w:val="nil"/>
              <w:left w:val="nil"/>
              <w:bottom w:val="single" w:color="auto" w:sz="4" w:space="0"/>
              <w:right w:val="single" w:color="auto" w:sz="4" w:space="0"/>
            </w:tcBorders>
            <w:noWrap w:val="0"/>
            <w:vAlign w:val="center"/>
          </w:tcPr>
          <w:p w14:paraId="29D45CF0">
            <w:pPr>
              <w:widowControl/>
              <w:spacing w:line="240" w:lineRule="exact"/>
              <w:jc w:val="left"/>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269" w:type="dxa"/>
            <w:tcBorders>
              <w:top w:val="nil"/>
              <w:left w:val="nil"/>
              <w:bottom w:val="single" w:color="auto" w:sz="4" w:space="0"/>
              <w:right w:val="single" w:color="auto" w:sz="4" w:space="0"/>
            </w:tcBorders>
            <w:noWrap w:val="0"/>
            <w:vAlign w:val="center"/>
          </w:tcPr>
          <w:p w14:paraId="3EB799EE">
            <w:pPr>
              <w:widowControl/>
              <w:spacing w:line="240" w:lineRule="exact"/>
              <w:jc w:val="left"/>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716" w:type="dxa"/>
            <w:tcBorders>
              <w:top w:val="nil"/>
              <w:left w:val="nil"/>
              <w:bottom w:val="single" w:color="auto" w:sz="4" w:space="0"/>
              <w:right w:val="single" w:color="auto" w:sz="4" w:space="0"/>
            </w:tcBorders>
            <w:noWrap w:val="0"/>
            <w:vAlign w:val="center"/>
          </w:tcPr>
          <w:p w14:paraId="7DDC2517">
            <w:pPr>
              <w:widowControl/>
              <w:spacing w:line="240" w:lineRule="exact"/>
              <w:jc w:val="left"/>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873" w:type="dxa"/>
            <w:tcBorders>
              <w:top w:val="nil"/>
              <w:left w:val="nil"/>
              <w:bottom w:val="single" w:color="auto" w:sz="4" w:space="0"/>
              <w:right w:val="single" w:color="auto" w:sz="4" w:space="0"/>
            </w:tcBorders>
            <w:noWrap w:val="0"/>
            <w:vAlign w:val="center"/>
          </w:tcPr>
          <w:p w14:paraId="347A8412">
            <w:pPr>
              <w:widowControl/>
              <w:spacing w:line="240" w:lineRule="exact"/>
              <w:jc w:val="left"/>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446" w:type="dxa"/>
            <w:tcBorders>
              <w:top w:val="nil"/>
              <w:left w:val="nil"/>
              <w:bottom w:val="single" w:color="auto" w:sz="4" w:space="0"/>
              <w:right w:val="single" w:color="auto" w:sz="4" w:space="0"/>
            </w:tcBorders>
            <w:noWrap w:val="0"/>
            <w:vAlign w:val="center"/>
          </w:tcPr>
          <w:p w14:paraId="44335121">
            <w:pPr>
              <w:widowControl/>
              <w:spacing w:line="240" w:lineRule="exact"/>
              <w:jc w:val="left"/>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14:paraId="4A68327D">
        <w:tblPrEx>
          <w:tblCellMar>
            <w:top w:w="0" w:type="dxa"/>
            <w:left w:w="108" w:type="dxa"/>
            <w:bottom w:w="0" w:type="dxa"/>
            <w:right w:w="108" w:type="dxa"/>
          </w:tblCellMar>
        </w:tblPrEx>
        <w:trPr>
          <w:trHeight w:val="330" w:hRule="atLeast"/>
          <w:jc w:val="center"/>
        </w:trPr>
        <w:tc>
          <w:tcPr>
            <w:tcW w:w="1080" w:type="dxa"/>
            <w:vMerge w:val="continue"/>
            <w:tcBorders>
              <w:left w:val="single" w:color="auto" w:sz="4" w:space="0"/>
              <w:right w:val="single" w:color="auto" w:sz="4" w:space="0"/>
            </w:tcBorders>
            <w:noWrap w:val="0"/>
            <w:vAlign w:val="center"/>
          </w:tcPr>
          <w:p w14:paraId="6403110C">
            <w:pPr>
              <w:spacing w:line="240" w:lineRule="exact"/>
              <w:jc w:val="left"/>
              <w:rPr>
                <w:rFonts w:hint="eastAsia" w:ascii="仿宋_GB2312" w:hAnsi="仿宋_GB2312" w:eastAsia="仿宋_GB2312" w:cs="仿宋_GB2312"/>
                <w:color w:val="000000"/>
                <w:sz w:val="20"/>
                <w:szCs w:val="20"/>
                <w:highlight w:val="none"/>
              </w:rPr>
            </w:pPr>
          </w:p>
        </w:tc>
        <w:tc>
          <w:tcPr>
            <w:tcW w:w="1080" w:type="dxa"/>
            <w:vMerge w:val="restart"/>
            <w:tcBorders>
              <w:top w:val="nil"/>
              <w:left w:val="nil"/>
              <w:right w:val="single" w:color="auto" w:sz="4" w:space="0"/>
            </w:tcBorders>
            <w:noWrap w:val="0"/>
            <w:vAlign w:val="center"/>
          </w:tcPr>
          <w:p w14:paraId="452662BD">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满意度</w:t>
            </w:r>
          </w:p>
          <w:p w14:paraId="6F33801A">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指标</w:t>
            </w:r>
          </w:p>
          <w:p w14:paraId="2F807A39">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（10分）</w:t>
            </w:r>
          </w:p>
        </w:tc>
        <w:tc>
          <w:tcPr>
            <w:tcW w:w="1034" w:type="dxa"/>
            <w:vMerge w:val="restart"/>
            <w:tcBorders>
              <w:top w:val="nil"/>
              <w:left w:val="nil"/>
              <w:right w:val="single" w:color="auto" w:sz="4" w:space="0"/>
            </w:tcBorders>
            <w:noWrap w:val="0"/>
            <w:vAlign w:val="center"/>
          </w:tcPr>
          <w:p w14:paraId="218766A6">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服务对象满意度指标</w:t>
            </w:r>
          </w:p>
        </w:tc>
        <w:tc>
          <w:tcPr>
            <w:tcW w:w="1270" w:type="dxa"/>
            <w:tcBorders>
              <w:top w:val="nil"/>
              <w:left w:val="nil"/>
              <w:bottom w:val="single" w:color="auto" w:sz="4" w:space="0"/>
              <w:right w:val="single" w:color="auto" w:sz="4" w:space="0"/>
            </w:tcBorders>
            <w:noWrap w:val="0"/>
            <w:vAlign w:val="center"/>
          </w:tcPr>
          <w:p w14:paraId="784C5DA4">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auto"/>
                <w:sz w:val="20"/>
                <w:szCs w:val="20"/>
                <w:lang w:val="en-US" w:eastAsia="zh-CN"/>
              </w:rPr>
              <w:t>临床用血安全、满意率</w:t>
            </w:r>
          </w:p>
        </w:tc>
        <w:tc>
          <w:tcPr>
            <w:tcW w:w="1311" w:type="dxa"/>
            <w:tcBorders>
              <w:top w:val="nil"/>
              <w:left w:val="nil"/>
              <w:bottom w:val="single" w:color="auto" w:sz="4" w:space="0"/>
              <w:right w:val="single" w:color="auto" w:sz="4" w:space="0"/>
            </w:tcBorders>
            <w:noWrap w:val="0"/>
            <w:vAlign w:val="center"/>
          </w:tcPr>
          <w:p w14:paraId="637C85EB">
            <w:pPr>
              <w:widowControl/>
              <w:spacing w:line="240" w:lineRule="exact"/>
              <w:jc w:val="center"/>
              <w:rPr>
                <w:rFonts w:hint="eastAsia" w:ascii="仿宋_GB2312" w:hAnsi="仿宋_GB2312" w:eastAsia="仿宋_GB2312" w:cs="仿宋_GB2312"/>
                <w:color w:val="auto"/>
                <w:kern w:val="0"/>
                <w:sz w:val="20"/>
                <w:szCs w:val="20"/>
                <w:lang w:val="en-US" w:eastAsia="zh-CN" w:bidi="ar-SA"/>
              </w:rPr>
            </w:pPr>
            <w:r>
              <w:rPr>
                <w:rFonts w:hint="eastAsia" w:ascii="仿宋_GB2312" w:hAnsi="仿宋_GB2312" w:eastAsia="仿宋_GB2312" w:cs="仿宋_GB2312"/>
                <w:i w:val="0"/>
                <w:iCs w:val="0"/>
                <w:color w:val="auto"/>
                <w:kern w:val="0"/>
                <w:sz w:val="18"/>
                <w:szCs w:val="18"/>
                <w:u w:val="none"/>
                <w:lang w:val="en-US" w:eastAsia="zh-CN" w:bidi="ar"/>
              </w:rPr>
              <w:t>用血单位满意度100%</w:t>
            </w:r>
          </w:p>
        </w:tc>
        <w:tc>
          <w:tcPr>
            <w:tcW w:w="1269" w:type="dxa"/>
            <w:tcBorders>
              <w:top w:val="nil"/>
              <w:left w:val="nil"/>
              <w:bottom w:val="single" w:color="auto" w:sz="4" w:space="0"/>
              <w:right w:val="single" w:color="auto" w:sz="4" w:space="0"/>
            </w:tcBorders>
            <w:noWrap w:val="0"/>
            <w:vAlign w:val="center"/>
          </w:tcPr>
          <w:p w14:paraId="0BED5A8D">
            <w:pPr>
              <w:widowControl/>
              <w:spacing w:line="240" w:lineRule="exact"/>
              <w:jc w:val="center"/>
              <w:rPr>
                <w:rFonts w:hint="eastAsia" w:ascii="仿宋_GB2312" w:hAnsi="仿宋_GB2312" w:eastAsia="仿宋_GB2312" w:cs="仿宋_GB2312"/>
                <w:color w:val="auto"/>
                <w:kern w:val="0"/>
                <w:sz w:val="20"/>
                <w:szCs w:val="20"/>
                <w:lang w:val="en-US" w:eastAsia="zh-CN" w:bidi="ar-SA"/>
              </w:rPr>
            </w:pPr>
            <w:r>
              <w:rPr>
                <w:rFonts w:hint="eastAsia" w:ascii="仿宋_GB2312" w:hAnsi="仿宋_GB2312" w:eastAsia="仿宋_GB2312" w:cs="仿宋_GB2312"/>
                <w:color w:val="auto"/>
                <w:sz w:val="20"/>
                <w:szCs w:val="20"/>
                <w:lang w:val="en-US" w:eastAsia="zh-CN"/>
              </w:rPr>
              <w:t>100%</w:t>
            </w:r>
          </w:p>
        </w:tc>
        <w:tc>
          <w:tcPr>
            <w:tcW w:w="716" w:type="dxa"/>
            <w:tcBorders>
              <w:top w:val="nil"/>
              <w:left w:val="nil"/>
              <w:bottom w:val="single" w:color="auto" w:sz="4" w:space="0"/>
              <w:right w:val="single" w:color="auto" w:sz="4" w:space="0"/>
            </w:tcBorders>
            <w:noWrap w:val="0"/>
            <w:vAlign w:val="center"/>
          </w:tcPr>
          <w:p w14:paraId="2481F3B7">
            <w:pPr>
              <w:widowControl/>
              <w:spacing w:line="240" w:lineRule="exact"/>
              <w:jc w:val="center"/>
              <w:rPr>
                <w:rFonts w:hint="eastAsia" w:ascii="仿宋_GB2312" w:hAnsi="仿宋_GB2312" w:eastAsia="仿宋_GB2312" w:cs="仿宋_GB2312"/>
                <w:color w:val="auto"/>
                <w:kern w:val="0"/>
                <w:sz w:val="20"/>
                <w:szCs w:val="20"/>
                <w:lang w:val="en-US" w:eastAsia="zh-CN" w:bidi="ar-SA"/>
              </w:rPr>
            </w:pPr>
            <w:r>
              <w:rPr>
                <w:rFonts w:hint="eastAsia" w:ascii="仿宋_GB2312" w:hAnsi="仿宋_GB2312" w:eastAsia="仿宋_GB2312" w:cs="仿宋_GB2312"/>
                <w:color w:val="auto"/>
                <w:sz w:val="20"/>
                <w:szCs w:val="20"/>
                <w:lang w:val="en-US" w:eastAsia="zh-CN"/>
              </w:rPr>
              <w:t>5</w:t>
            </w:r>
          </w:p>
        </w:tc>
        <w:tc>
          <w:tcPr>
            <w:tcW w:w="873" w:type="dxa"/>
            <w:tcBorders>
              <w:top w:val="nil"/>
              <w:left w:val="nil"/>
              <w:bottom w:val="single" w:color="auto" w:sz="4" w:space="0"/>
              <w:right w:val="single" w:color="auto" w:sz="4" w:space="0"/>
            </w:tcBorders>
            <w:noWrap w:val="0"/>
            <w:vAlign w:val="center"/>
          </w:tcPr>
          <w:p w14:paraId="3D2F1DE2">
            <w:pPr>
              <w:widowControl/>
              <w:spacing w:line="240" w:lineRule="exact"/>
              <w:jc w:val="center"/>
              <w:rPr>
                <w:rFonts w:hint="eastAsia" w:ascii="仿宋_GB2312" w:hAnsi="仿宋_GB2312" w:eastAsia="仿宋_GB2312" w:cs="仿宋_GB2312"/>
                <w:color w:val="auto"/>
                <w:kern w:val="0"/>
                <w:sz w:val="20"/>
                <w:szCs w:val="20"/>
                <w:lang w:val="en-US" w:eastAsia="zh-CN" w:bidi="ar-SA"/>
              </w:rPr>
            </w:pPr>
            <w:r>
              <w:rPr>
                <w:rFonts w:hint="eastAsia" w:ascii="仿宋_GB2312" w:hAnsi="仿宋_GB2312" w:eastAsia="仿宋_GB2312" w:cs="仿宋_GB2312"/>
                <w:color w:val="auto"/>
                <w:sz w:val="20"/>
                <w:szCs w:val="20"/>
                <w:lang w:val="en-US" w:eastAsia="zh-CN"/>
              </w:rPr>
              <w:t>5</w:t>
            </w:r>
          </w:p>
        </w:tc>
        <w:tc>
          <w:tcPr>
            <w:tcW w:w="1446" w:type="dxa"/>
            <w:tcBorders>
              <w:top w:val="nil"/>
              <w:left w:val="nil"/>
              <w:bottom w:val="single" w:color="auto" w:sz="4" w:space="0"/>
              <w:right w:val="single" w:color="auto" w:sz="4" w:space="0"/>
            </w:tcBorders>
            <w:noWrap w:val="0"/>
            <w:vAlign w:val="center"/>
          </w:tcPr>
          <w:p w14:paraId="17CA7517">
            <w:pPr>
              <w:widowControl/>
              <w:spacing w:line="240" w:lineRule="exact"/>
              <w:jc w:val="left"/>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14:paraId="6F0047EA">
        <w:tblPrEx>
          <w:tblCellMar>
            <w:top w:w="0" w:type="dxa"/>
            <w:left w:w="108" w:type="dxa"/>
            <w:bottom w:w="0" w:type="dxa"/>
            <w:right w:w="108" w:type="dxa"/>
          </w:tblCellMar>
        </w:tblPrEx>
        <w:trPr>
          <w:trHeight w:val="270" w:hRule="atLeast"/>
          <w:jc w:val="center"/>
        </w:trPr>
        <w:tc>
          <w:tcPr>
            <w:tcW w:w="1080" w:type="dxa"/>
            <w:vMerge w:val="continue"/>
            <w:tcBorders>
              <w:left w:val="single" w:color="auto" w:sz="4" w:space="0"/>
              <w:right w:val="single" w:color="auto" w:sz="4" w:space="0"/>
            </w:tcBorders>
            <w:noWrap w:val="0"/>
            <w:vAlign w:val="center"/>
          </w:tcPr>
          <w:p w14:paraId="1CABC1EC">
            <w:pPr>
              <w:spacing w:line="240" w:lineRule="exact"/>
              <w:jc w:val="left"/>
              <w:rPr>
                <w:rFonts w:hint="eastAsia" w:ascii="仿宋_GB2312" w:hAnsi="仿宋_GB2312" w:eastAsia="仿宋_GB2312" w:cs="仿宋_GB2312"/>
                <w:color w:val="000000"/>
                <w:sz w:val="20"/>
                <w:szCs w:val="20"/>
                <w:highlight w:val="none"/>
              </w:rPr>
            </w:pPr>
          </w:p>
        </w:tc>
        <w:tc>
          <w:tcPr>
            <w:tcW w:w="1080" w:type="dxa"/>
            <w:vMerge w:val="continue"/>
            <w:tcBorders>
              <w:left w:val="nil"/>
              <w:right w:val="single" w:color="auto" w:sz="4" w:space="0"/>
            </w:tcBorders>
            <w:noWrap w:val="0"/>
            <w:vAlign w:val="center"/>
          </w:tcPr>
          <w:p w14:paraId="7E4AF505">
            <w:pPr>
              <w:spacing w:line="240" w:lineRule="exact"/>
              <w:jc w:val="left"/>
              <w:rPr>
                <w:rFonts w:hint="eastAsia" w:ascii="仿宋_GB2312" w:hAnsi="仿宋_GB2312" w:eastAsia="仿宋_GB2312" w:cs="仿宋_GB2312"/>
                <w:color w:val="000000"/>
                <w:sz w:val="20"/>
                <w:szCs w:val="20"/>
                <w:highlight w:val="none"/>
              </w:rPr>
            </w:pPr>
          </w:p>
        </w:tc>
        <w:tc>
          <w:tcPr>
            <w:tcW w:w="1034" w:type="dxa"/>
            <w:vMerge w:val="continue"/>
            <w:tcBorders>
              <w:left w:val="nil"/>
              <w:right w:val="single" w:color="auto" w:sz="4" w:space="0"/>
            </w:tcBorders>
            <w:noWrap w:val="0"/>
            <w:vAlign w:val="center"/>
          </w:tcPr>
          <w:p w14:paraId="076374B6">
            <w:pPr>
              <w:spacing w:line="240" w:lineRule="exact"/>
              <w:jc w:val="left"/>
              <w:rPr>
                <w:rFonts w:hint="eastAsia" w:ascii="仿宋_GB2312" w:hAnsi="仿宋_GB2312" w:eastAsia="仿宋_GB2312" w:cs="仿宋_GB2312"/>
                <w:color w:val="000000"/>
                <w:sz w:val="20"/>
                <w:szCs w:val="20"/>
                <w:highlight w:val="none"/>
              </w:rPr>
            </w:pPr>
          </w:p>
        </w:tc>
        <w:tc>
          <w:tcPr>
            <w:tcW w:w="1270" w:type="dxa"/>
            <w:tcBorders>
              <w:top w:val="nil"/>
              <w:left w:val="nil"/>
              <w:bottom w:val="single" w:color="auto" w:sz="4" w:space="0"/>
              <w:right w:val="single" w:color="auto" w:sz="4" w:space="0"/>
            </w:tcBorders>
            <w:noWrap w:val="0"/>
            <w:vAlign w:val="center"/>
          </w:tcPr>
          <w:p w14:paraId="2DA607CA">
            <w:pPr>
              <w:widowControl/>
              <w:spacing w:line="240" w:lineRule="exact"/>
              <w:jc w:val="center"/>
              <w:rPr>
                <w:rFonts w:hint="eastAsia" w:ascii="仿宋_GB2312" w:hAnsi="仿宋_GB2312" w:eastAsia="仿宋_GB2312" w:cs="仿宋_GB2312"/>
                <w:color w:val="auto"/>
                <w:kern w:val="0"/>
                <w:sz w:val="20"/>
                <w:szCs w:val="20"/>
                <w:lang w:val="en-US" w:eastAsia="zh-CN" w:bidi="ar-SA"/>
              </w:rPr>
            </w:pPr>
            <w:r>
              <w:rPr>
                <w:rFonts w:hint="eastAsia" w:ascii="仿宋_GB2312" w:hAnsi="仿宋_GB2312" w:eastAsia="仿宋_GB2312" w:cs="仿宋_GB2312"/>
                <w:color w:val="auto"/>
                <w:sz w:val="20"/>
                <w:szCs w:val="20"/>
                <w:lang w:val="en-US" w:eastAsia="zh-CN"/>
              </w:rPr>
              <w:t>献血者回访满意度</w:t>
            </w:r>
          </w:p>
        </w:tc>
        <w:tc>
          <w:tcPr>
            <w:tcW w:w="1311" w:type="dxa"/>
            <w:tcBorders>
              <w:top w:val="nil"/>
              <w:left w:val="nil"/>
              <w:bottom w:val="single" w:color="auto" w:sz="4" w:space="0"/>
              <w:right w:val="single" w:color="auto" w:sz="4" w:space="0"/>
            </w:tcBorders>
            <w:noWrap w:val="0"/>
            <w:vAlign w:val="center"/>
          </w:tcPr>
          <w:p w14:paraId="4B41130E">
            <w:pPr>
              <w:widowControl/>
              <w:spacing w:line="240" w:lineRule="exact"/>
              <w:jc w:val="center"/>
              <w:rPr>
                <w:rFonts w:hint="eastAsia" w:ascii="仿宋_GB2312" w:hAnsi="仿宋_GB2312" w:eastAsia="仿宋_GB2312" w:cs="仿宋_GB2312"/>
                <w:color w:val="auto"/>
                <w:kern w:val="0"/>
                <w:sz w:val="20"/>
                <w:szCs w:val="20"/>
                <w:lang w:val="en-US" w:eastAsia="zh-CN" w:bidi="ar-SA"/>
              </w:rPr>
            </w:pPr>
            <w:r>
              <w:rPr>
                <w:rFonts w:hint="eastAsia" w:ascii="仿宋_GB2312" w:hAnsi="仿宋_GB2312" w:eastAsia="仿宋_GB2312" w:cs="仿宋_GB2312"/>
                <w:i w:val="0"/>
                <w:iCs w:val="0"/>
                <w:color w:val="auto"/>
                <w:kern w:val="0"/>
                <w:sz w:val="18"/>
                <w:szCs w:val="18"/>
                <w:u w:val="none"/>
                <w:lang w:val="en-US" w:eastAsia="zh-CN" w:bidi="ar"/>
              </w:rPr>
              <w:t>献血者满意度≧96%</w:t>
            </w:r>
          </w:p>
        </w:tc>
        <w:tc>
          <w:tcPr>
            <w:tcW w:w="1269" w:type="dxa"/>
            <w:tcBorders>
              <w:top w:val="nil"/>
              <w:left w:val="nil"/>
              <w:bottom w:val="single" w:color="auto" w:sz="4" w:space="0"/>
              <w:right w:val="single" w:color="auto" w:sz="4" w:space="0"/>
            </w:tcBorders>
            <w:noWrap w:val="0"/>
            <w:vAlign w:val="center"/>
          </w:tcPr>
          <w:p w14:paraId="5638BEAC">
            <w:pPr>
              <w:widowControl/>
              <w:spacing w:line="240" w:lineRule="exact"/>
              <w:jc w:val="center"/>
              <w:rPr>
                <w:rFonts w:hint="eastAsia" w:ascii="仿宋_GB2312" w:hAnsi="仿宋_GB2312" w:eastAsia="仿宋_GB2312" w:cs="仿宋_GB2312"/>
                <w:color w:val="auto"/>
                <w:kern w:val="0"/>
                <w:sz w:val="20"/>
                <w:szCs w:val="20"/>
                <w:lang w:val="en-US" w:eastAsia="zh-CN" w:bidi="ar-SA"/>
              </w:rPr>
            </w:pPr>
            <w:r>
              <w:rPr>
                <w:rFonts w:hint="eastAsia" w:ascii="仿宋_GB2312" w:hAnsi="仿宋_GB2312" w:eastAsia="仿宋_GB2312" w:cs="仿宋_GB2312"/>
                <w:color w:val="auto"/>
                <w:sz w:val="20"/>
                <w:szCs w:val="20"/>
                <w:lang w:val="en-US" w:eastAsia="zh-CN"/>
              </w:rPr>
              <w:t>97%</w:t>
            </w:r>
          </w:p>
        </w:tc>
        <w:tc>
          <w:tcPr>
            <w:tcW w:w="716" w:type="dxa"/>
            <w:tcBorders>
              <w:top w:val="nil"/>
              <w:left w:val="nil"/>
              <w:bottom w:val="single" w:color="auto" w:sz="4" w:space="0"/>
              <w:right w:val="single" w:color="auto" w:sz="4" w:space="0"/>
            </w:tcBorders>
            <w:noWrap w:val="0"/>
            <w:vAlign w:val="center"/>
          </w:tcPr>
          <w:p w14:paraId="4D3FB4D8">
            <w:pPr>
              <w:widowControl/>
              <w:spacing w:line="240" w:lineRule="exact"/>
              <w:jc w:val="center"/>
              <w:rPr>
                <w:rFonts w:hint="eastAsia" w:ascii="仿宋_GB2312" w:hAnsi="仿宋_GB2312" w:eastAsia="仿宋_GB2312" w:cs="仿宋_GB2312"/>
                <w:color w:val="auto"/>
                <w:kern w:val="0"/>
                <w:sz w:val="20"/>
                <w:szCs w:val="20"/>
                <w:lang w:val="en-US" w:eastAsia="zh-CN" w:bidi="ar-SA"/>
              </w:rPr>
            </w:pPr>
            <w:r>
              <w:rPr>
                <w:rFonts w:hint="eastAsia" w:ascii="仿宋_GB2312" w:hAnsi="仿宋_GB2312" w:eastAsia="仿宋_GB2312" w:cs="仿宋_GB2312"/>
                <w:color w:val="auto"/>
                <w:sz w:val="20"/>
                <w:szCs w:val="20"/>
                <w:lang w:val="en-US" w:eastAsia="zh-CN"/>
              </w:rPr>
              <w:t>5</w:t>
            </w:r>
          </w:p>
        </w:tc>
        <w:tc>
          <w:tcPr>
            <w:tcW w:w="873" w:type="dxa"/>
            <w:tcBorders>
              <w:top w:val="nil"/>
              <w:left w:val="nil"/>
              <w:bottom w:val="single" w:color="auto" w:sz="4" w:space="0"/>
              <w:right w:val="single" w:color="auto" w:sz="4" w:space="0"/>
            </w:tcBorders>
            <w:noWrap w:val="0"/>
            <w:vAlign w:val="center"/>
          </w:tcPr>
          <w:p w14:paraId="1DDA69C9">
            <w:pPr>
              <w:widowControl/>
              <w:spacing w:line="240" w:lineRule="exact"/>
              <w:jc w:val="center"/>
              <w:rPr>
                <w:rFonts w:hint="eastAsia" w:ascii="仿宋_GB2312" w:hAnsi="仿宋_GB2312" w:eastAsia="仿宋_GB2312" w:cs="仿宋_GB2312"/>
                <w:color w:val="auto"/>
                <w:kern w:val="0"/>
                <w:sz w:val="20"/>
                <w:szCs w:val="20"/>
                <w:lang w:val="en-US" w:eastAsia="zh-CN" w:bidi="ar-SA"/>
              </w:rPr>
            </w:pPr>
            <w:r>
              <w:rPr>
                <w:rFonts w:hint="eastAsia" w:ascii="仿宋_GB2312" w:hAnsi="仿宋_GB2312" w:eastAsia="仿宋_GB2312" w:cs="仿宋_GB2312"/>
                <w:color w:val="auto"/>
                <w:sz w:val="20"/>
                <w:szCs w:val="20"/>
                <w:lang w:val="en-US" w:eastAsia="zh-CN"/>
              </w:rPr>
              <w:t>5</w:t>
            </w:r>
          </w:p>
        </w:tc>
        <w:tc>
          <w:tcPr>
            <w:tcW w:w="1446" w:type="dxa"/>
            <w:tcBorders>
              <w:top w:val="nil"/>
              <w:left w:val="nil"/>
              <w:bottom w:val="single" w:color="auto" w:sz="4" w:space="0"/>
              <w:right w:val="single" w:color="auto" w:sz="4" w:space="0"/>
            </w:tcBorders>
            <w:noWrap w:val="0"/>
            <w:vAlign w:val="center"/>
          </w:tcPr>
          <w:p w14:paraId="41CAD2B2">
            <w:pPr>
              <w:widowControl/>
              <w:spacing w:line="240" w:lineRule="exact"/>
              <w:jc w:val="left"/>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14:paraId="30B324CA">
        <w:tblPrEx>
          <w:tblCellMar>
            <w:top w:w="0" w:type="dxa"/>
            <w:left w:w="108" w:type="dxa"/>
            <w:bottom w:w="0" w:type="dxa"/>
            <w:right w:w="108" w:type="dxa"/>
          </w:tblCellMar>
        </w:tblPrEx>
        <w:trPr>
          <w:trHeight w:val="270" w:hRule="atLeast"/>
          <w:jc w:val="center"/>
        </w:trPr>
        <w:tc>
          <w:tcPr>
            <w:tcW w:w="1080" w:type="dxa"/>
            <w:vMerge w:val="continue"/>
            <w:tcBorders>
              <w:left w:val="single" w:color="auto" w:sz="4" w:space="0"/>
              <w:bottom w:val="single" w:color="auto" w:sz="4" w:space="0"/>
              <w:right w:val="single" w:color="auto" w:sz="4" w:space="0"/>
            </w:tcBorders>
            <w:noWrap w:val="0"/>
            <w:vAlign w:val="center"/>
          </w:tcPr>
          <w:p w14:paraId="1CFF4D2A">
            <w:pPr>
              <w:widowControl/>
              <w:spacing w:line="240" w:lineRule="exact"/>
              <w:jc w:val="left"/>
              <w:rPr>
                <w:rFonts w:hint="eastAsia" w:ascii="仿宋_GB2312" w:hAnsi="仿宋_GB2312" w:eastAsia="仿宋_GB2312" w:cs="仿宋_GB2312"/>
                <w:color w:val="000000"/>
                <w:sz w:val="20"/>
                <w:szCs w:val="20"/>
                <w:highlight w:val="none"/>
              </w:rPr>
            </w:pPr>
          </w:p>
        </w:tc>
        <w:tc>
          <w:tcPr>
            <w:tcW w:w="1080" w:type="dxa"/>
            <w:vMerge w:val="continue"/>
            <w:tcBorders>
              <w:left w:val="nil"/>
              <w:bottom w:val="single" w:color="auto" w:sz="4" w:space="0"/>
              <w:right w:val="single" w:color="auto" w:sz="4" w:space="0"/>
            </w:tcBorders>
            <w:noWrap w:val="0"/>
            <w:vAlign w:val="center"/>
          </w:tcPr>
          <w:p w14:paraId="73F29571">
            <w:pPr>
              <w:widowControl/>
              <w:spacing w:line="240" w:lineRule="exact"/>
              <w:jc w:val="left"/>
              <w:rPr>
                <w:rFonts w:hint="eastAsia" w:ascii="仿宋_GB2312" w:hAnsi="仿宋_GB2312" w:eastAsia="仿宋_GB2312" w:cs="仿宋_GB2312"/>
                <w:color w:val="000000"/>
                <w:sz w:val="20"/>
                <w:szCs w:val="20"/>
                <w:highlight w:val="none"/>
              </w:rPr>
            </w:pPr>
          </w:p>
        </w:tc>
        <w:tc>
          <w:tcPr>
            <w:tcW w:w="1034" w:type="dxa"/>
            <w:vMerge w:val="continue"/>
            <w:tcBorders>
              <w:left w:val="nil"/>
              <w:bottom w:val="single" w:color="auto" w:sz="4" w:space="0"/>
              <w:right w:val="single" w:color="auto" w:sz="4" w:space="0"/>
            </w:tcBorders>
            <w:noWrap w:val="0"/>
            <w:vAlign w:val="center"/>
          </w:tcPr>
          <w:p w14:paraId="1E8BE698">
            <w:pPr>
              <w:widowControl/>
              <w:spacing w:line="240" w:lineRule="exact"/>
              <w:jc w:val="left"/>
              <w:rPr>
                <w:rFonts w:hint="eastAsia" w:ascii="仿宋_GB2312" w:hAnsi="仿宋_GB2312" w:eastAsia="仿宋_GB2312" w:cs="仿宋_GB2312"/>
                <w:color w:val="000000"/>
                <w:sz w:val="20"/>
                <w:szCs w:val="20"/>
                <w:highlight w:val="none"/>
              </w:rPr>
            </w:pPr>
          </w:p>
        </w:tc>
        <w:tc>
          <w:tcPr>
            <w:tcW w:w="1270" w:type="dxa"/>
            <w:tcBorders>
              <w:top w:val="nil"/>
              <w:left w:val="nil"/>
              <w:bottom w:val="single" w:color="auto" w:sz="4" w:space="0"/>
              <w:right w:val="single" w:color="auto" w:sz="4" w:space="0"/>
            </w:tcBorders>
            <w:noWrap w:val="0"/>
            <w:vAlign w:val="center"/>
          </w:tcPr>
          <w:p w14:paraId="18120DAF">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w:t>
            </w:r>
          </w:p>
        </w:tc>
        <w:tc>
          <w:tcPr>
            <w:tcW w:w="1311" w:type="dxa"/>
            <w:tcBorders>
              <w:top w:val="nil"/>
              <w:left w:val="nil"/>
              <w:bottom w:val="single" w:color="auto" w:sz="4" w:space="0"/>
              <w:right w:val="single" w:color="auto" w:sz="4" w:space="0"/>
            </w:tcBorders>
            <w:noWrap w:val="0"/>
            <w:vAlign w:val="center"/>
          </w:tcPr>
          <w:p w14:paraId="10180202">
            <w:pPr>
              <w:widowControl/>
              <w:spacing w:line="240" w:lineRule="exact"/>
              <w:jc w:val="left"/>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269" w:type="dxa"/>
            <w:tcBorders>
              <w:top w:val="nil"/>
              <w:left w:val="nil"/>
              <w:bottom w:val="single" w:color="auto" w:sz="4" w:space="0"/>
              <w:right w:val="single" w:color="auto" w:sz="4" w:space="0"/>
            </w:tcBorders>
            <w:noWrap w:val="0"/>
            <w:vAlign w:val="center"/>
          </w:tcPr>
          <w:p w14:paraId="39E9D011">
            <w:pPr>
              <w:widowControl/>
              <w:spacing w:line="240" w:lineRule="exact"/>
              <w:jc w:val="left"/>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716" w:type="dxa"/>
            <w:tcBorders>
              <w:top w:val="nil"/>
              <w:left w:val="nil"/>
              <w:bottom w:val="single" w:color="auto" w:sz="4" w:space="0"/>
              <w:right w:val="single" w:color="auto" w:sz="4" w:space="0"/>
            </w:tcBorders>
            <w:noWrap w:val="0"/>
            <w:vAlign w:val="center"/>
          </w:tcPr>
          <w:p w14:paraId="50996476">
            <w:pPr>
              <w:widowControl/>
              <w:spacing w:line="240" w:lineRule="exact"/>
              <w:jc w:val="left"/>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873" w:type="dxa"/>
            <w:tcBorders>
              <w:top w:val="nil"/>
              <w:left w:val="nil"/>
              <w:bottom w:val="single" w:color="auto" w:sz="4" w:space="0"/>
              <w:right w:val="single" w:color="auto" w:sz="4" w:space="0"/>
            </w:tcBorders>
            <w:noWrap w:val="0"/>
            <w:vAlign w:val="center"/>
          </w:tcPr>
          <w:p w14:paraId="16AFC1F1">
            <w:pPr>
              <w:widowControl/>
              <w:spacing w:line="240" w:lineRule="exact"/>
              <w:jc w:val="left"/>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446" w:type="dxa"/>
            <w:tcBorders>
              <w:top w:val="nil"/>
              <w:left w:val="nil"/>
              <w:bottom w:val="single" w:color="auto" w:sz="4" w:space="0"/>
              <w:right w:val="single" w:color="auto" w:sz="4" w:space="0"/>
            </w:tcBorders>
            <w:noWrap w:val="0"/>
            <w:vAlign w:val="center"/>
          </w:tcPr>
          <w:p w14:paraId="1AD8246B">
            <w:pPr>
              <w:widowControl/>
              <w:spacing w:line="240" w:lineRule="exact"/>
              <w:jc w:val="left"/>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14:paraId="381D2843">
        <w:tblPrEx>
          <w:tblCellMar>
            <w:top w:w="0" w:type="dxa"/>
            <w:left w:w="108" w:type="dxa"/>
            <w:bottom w:w="0" w:type="dxa"/>
            <w:right w:w="108" w:type="dxa"/>
          </w:tblCellMar>
        </w:tblPrEx>
        <w:trPr>
          <w:trHeight w:val="270" w:hRule="atLeast"/>
          <w:jc w:val="center"/>
        </w:trPr>
        <w:tc>
          <w:tcPr>
            <w:tcW w:w="7044" w:type="dxa"/>
            <w:gridSpan w:val="6"/>
            <w:tcBorders>
              <w:top w:val="single" w:color="auto" w:sz="4" w:space="0"/>
              <w:left w:val="single" w:color="auto" w:sz="4" w:space="0"/>
              <w:bottom w:val="single" w:color="auto" w:sz="4" w:space="0"/>
              <w:right w:val="single" w:color="000000" w:sz="4" w:space="0"/>
            </w:tcBorders>
            <w:noWrap w:val="0"/>
            <w:vAlign w:val="center"/>
          </w:tcPr>
          <w:p w14:paraId="4E38FDC9">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总分</w:t>
            </w:r>
          </w:p>
        </w:tc>
        <w:tc>
          <w:tcPr>
            <w:tcW w:w="716" w:type="dxa"/>
            <w:tcBorders>
              <w:top w:val="nil"/>
              <w:left w:val="nil"/>
              <w:bottom w:val="single" w:color="auto" w:sz="4" w:space="0"/>
              <w:right w:val="single" w:color="auto" w:sz="4" w:space="0"/>
            </w:tcBorders>
            <w:noWrap w:val="0"/>
            <w:vAlign w:val="center"/>
          </w:tcPr>
          <w:p w14:paraId="750C3266">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100</w:t>
            </w:r>
          </w:p>
        </w:tc>
        <w:tc>
          <w:tcPr>
            <w:tcW w:w="873" w:type="dxa"/>
            <w:tcBorders>
              <w:top w:val="nil"/>
              <w:left w:val="nil"/>
              <w:bottom w:val="single" w:color="auto" w:sz="4" w:space="0"/>
              <w:right w:val="single" w:color="auto" w:sz="4" w:space="0"/>
            </w:tcBorders>
            <w:noWrap w:val="0"/>
            <w:vAlign w:val="center"/>
          </w:tcPr>
          <w:p w14:paraId="4703D034">
            <w:pPr>
              <w:widowControl/>
              <w:spacing w:line="240" w:lineRule="exact"/>
              <w:jc w:val="left"/>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　</w:t>
            </w:r>
            <w:r>
              <w:rPr>
                <w:rFonts w:hint="eastAsia" w:ascii="仿宋_GB2312" w:hAnsi="仿宋_GB2312" w:eastAsia="仿宋_GB2312" w:cs="仿宋_GB2312"/>
                <w:color w:val="000000"/>
                <w:sz w:val="20"/>
                <w:szCs w:val="20"/>
                <w:highlight w:val="none"/>
                <w:lang w:val="en-US" w:eastAsia="zh-CN"/>
              </w:rPr>
              <w:t>97.93</w:t>
            </w:r>
          </w:p>
        </w:tc>
        <w:tc>
          <w:tcPr>
            <w:tcW w:w="1446" w:type="dxa"/>
            <w:tcBorders>
              <w:top w:val="nil"/>
              <w:left w:val="nil"/>
              <w:bottom w:val="single" w:color="auto" w:sz="4" w:space="0"/>
              <w:right w:val="single" w:color="auto" w:sz="4" w:space="0"/>
            </w:tcBorders>
            <w:noWrap w:val="0"/>
            <w:vAlign w:val="center"/>
          </w:tcPr>
          <w:p w14:paraId="2F42E1C2">
            <w:pPr>
              <w:widowControl/>
              <w:spacing w:line="240" w:lineRule="exact"/>
              <w:jc w:val="left"/>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bl>
    <w:p w14:paraId="6490F08D">
      <w:pPr>
        <w:widowControl/>
        <w:spacing w:line="600" w:lineRule="exact"/>
        <w:jc w:val="left"/>
        <w:rPr>
          <w:rFonts w:hint="eastAsia" w:ascii="黑体" w:hAnsi="黑体" w:eastAsia="黑体" w:cs="黑体"/>
          <w:sz w:val="32"/>
          <w:szCs w:val="32"/>
          <w:highlight w:val="none"/>
          <w:lang w:val="en-US" w:eastAsia="zh-CN"/>
        </w:rPr>
      </w:pPr>
      <w:r>
        <w:rPr>
          <w:rFonts w:hint="default" w:ascii="Times New Roman" w:hAnsi="Times New Roman" w:eastAsia="仿宋_GB2312" w:cs="Times New Roman"/>
          <w:sz w:val="22"/>
          <w:highlight w:val="none"/>
        </w:rPr>
        <w:t xml:space="preserve">填表人： </w:t>
      </w:r>
      <w:r>
        <w:rPr>
          <w:rFonts w:hint="eastAsia" w:eastAsia="仿宋_GB2312" w:cs="Times New Roman"/>
          <w:sz w:val="22"/>
          <w:highlight w:val="none"/>
          <w:lang w:val="en-US" w:eastAsia="zh-CN"/>
        </w:rPr>
        <w:t>徐军</w:t>
      </w:r>
      <w:r>
        <w:rPr>
          <w:rFonts w:hint="default" w:ascii="Times New Roman" w:hAnsi="Times New Roman" w:eastAsia="仿宋_GB2312" w:cs="Times New Roman"/>
          <w:sz w:val="22"/>
          <w:highlight w:val="none"/>
        </w:rPr>
        <w:t xml:space="preserve"> </w:t>
      </w:r>
      <w:r>
        <w:rPr>
          <w:rFonts w:hint="eastAsia" w:ascii="Times New Roman" w:hAnsi="Times New Roman" w:eastAsia="仿宋_GB2312" w:cs="Times New Roman"/>
          <w:sz w:val="22"/>
          <w:highlight w:val="none"/>
          <w:lang w:val="en-US" w:eastAsia="zh-CN"/>
        </w:rPr>
        <w:t xml:space="preserve"> </w:t>
      </w:r>
      <w:r>
        <w:rPr>
          <w:rFonts w:hint="default" w:ascii="Times New Roman" w:hAnsi="Times New Roman" w:eastAsia="仿宋_GB2312" w:cs="Times New Roman"/>
          <w:sz w:val="22"/>
          <w:highlight w:val="none"/>
        </w:rPr>
        <w:t xml:space="preserve"> 填报日期：</w:t>
      </w:r>
      <w:r>
        <w:rPr>
          <w:rFonts w:hint="eastAsia" w:eastAsia="仿宋_GB2312" w:cs="Times New Roman"/>
          <w:sz w:val="22"/>
          <w:highlight w:val="none"/>
          <w:lang w:val="en-US" w:eastAsia="zh-CN"/>
        </w:rPr>
        <w:t>2025-6-26</w:t>
      </w:r>
      <w:r>
        <w:rPr>
          <w:rFonts w:hint="default" w:ascii="Times New Roman" w:hAnsi="Times New Roman" w:eastAsia="仿宋_GB2312" w:cs="Times New Roman"/>
          <w:sz w:val="22"/>
          <w:highlight w:val="none"/>
        </w:rPr>
        <w:t xml:space="preserve">  </w:t>
      </w:r>
      <w:r>
        <w:rPr>
          <w:rFonts w:hint="eastAsia" w:ascii="Times New Roman" w:hAnsi="Times New Roman" w:eastAsia="仿宋_GB2312" w:cs="Times New Roman"/>
          <w:sz w:val="22"/>
          <w:highlight w:val="none"/>
          <w:lang w:val="en-US" w:eastAsia="zh-CN"/>
        </w:rPr>
        <w:t xml:space="preserve"> </w:t>
      </w:r>
      <w:r>
        <w:rPr>
          <w:rFonts w:hint="default" w:ascii="Times New Roman" w:hAnsi="Times New Roman" w:eastAsia="仿宋_GB2312" w:cs="Times New Roman"/>
          <w:sz w:val="22"/>
          <w:highlight w:val="none"/>
        </w:rPr>
        <w:t>联系电话：</w:t>
      </w:r>
      <w:r>
        <w:rPr>
          <w:rFonts w:hint="eastAsia" w:eastAsia="仿宋_GB2312" w:cs="Times New Roman"/>
          <w:sz w:val="22"/>
          <w:highlight w:val="none"/>
          <w:lang w:val="en-US" w:eastAsia="zh-CN"/>
        </w:rPr>
        <w:t>8831508</w:t>
      </w:r>
      <w:r>
        <w:rPr>
          <w:rFonts w:hint="default" w:ascii="Times New Roman" w:hAnsi="Times New Roman" w:eastAsia="仿宋_GB2312" w:cs="Times New Roman"/>
          <w:sz w:val="22"/>
          <w:highlight w:val="none"/>
        </w:rPr>
        <w:t xml:space="preserve"> </w:t>
      </w:r>
      <w:r>
        <w:rPr>
          <w:rFonts w:hint="eastAsia" w:eastAsia="仿宋_GB2312" w:cs="Times New Roman"/>
          <w:sz w:val="22"/>
          <w:highlight w:val="none"/>
          <w:lang w:val="en-US" w:eastAsia="zh-CN"/>
        </w:rPr>
        <w:t xml:space="preserve">   </w:t>
      </w:r>
      <w:r>
        <w:rPr>
          <w:rFonts w:hint="default" w:ascii="Times New Roman" w:hAnsi="Times New Roman" w:eastAsia="仿宋_GB2312" w:cs="Times New Roman"/>
          <w:sz w:val="22"/>
          <w:highlight w:val="none"/>
        </w:rPr>
        <w:t>单位负责人签字</w:t>
      </w:r>
      <w:r>
        <w:rPr>
          <w:rFonts w:hint="eastAsia" w:ascii="Times New Roman" w:hAnsi="Times New Roman" w:eastAsia="仿宋_GB2312" w:cs="Times New Roman"/>
          <w:sz w:val="22"/>
          <w:highlight w:val="none"/>
          <w:lang w:eastAsia="zh-CN"/>
        </w:rPr>
        <w:t>：</w:t>
      </w:r>
      <w:r>
        <w:rPr>
          <w:rFonts w:hint="eastAsia" w:eastAsia="仿宋_GB2312" w:cs="Times New Roman"/>
          <w:sz w:val="22"/>
          <w:highlight w:val="none"/>
          <w:lang w:val="en-US" w:eastAsia="zh-CN"/>
        </w:rPr>
        <w:t>周砺宏</w:t>
      </w:r>
      <w:r>
        <w:rPr>
          <w:rFonts w:hint="default" w:ascii="Times New Roman" w:hAnsi="Times New Roman" w:eastAsia="仿宋_GB2312" w:cs="Times New Roman"/>
          <w:sz w:val="22"/>
          <w:szCs w:val="22"/>
          <w:highlight w:val="none"/>
        </w:rPr>
        <w:br w:type="page"/>
      </w:r>
      <w:r>
        <w:rPr>
          <w:rFonts w:hint="eastAsia" w:ascii="黑体" w:hAnsi="黑体" w:eastAsia="黑体" w:cs="黑体"/>
          <w:sz w:val="32"/>
          <w:szCs w:val="32"/>
          <w:highlight w:val="none"/>
        </w:rPr>
        <w:t>附件</w:t>
      </w:r>
      <w:r>
        <w:rPr>
          <w:rFonts w:hint="eastAsia" w:ascii="黑体" w:hAnsi="黑体" w:eastAsia="黑体" w:cs="黑体"/>
          <w:sz w:val="32"/>
          <w:szCs w:val="32"/>
          <w:highlight w:val="none"/>
          <w:lang w:val="en-US" w:eastAsia="zh-CN"/>
        </w:rPr>
        <w:t>3</w:t>
      </w:r>
    </w:p>
    <w:p w14:paraId="65328C8A">
      <w:pPr>
        <w:keepNext w:val="0"/>
        <w:keepLines w:val="0"/>
        <w:pageBreakBefore w:val="0"/>
        <w:widowControl/>
        <w:kinsoku/>
        <w:wordWrap/>
        <w:overflowPunct/>
        <w:topLinePunct w:val="0"/>
        <w:autoSpaceDE/>
        <w:autoSpaceDN/>
        <w:bidi w:val="0"/>
        <w:adjustRightInd/>
        <w:snapToGrid/>
        <w:spacing w:line="400" w:lineRule="exact"/>
        <w:jc w:val="left"/>
        <w:textAlignment w:val="auto"/>
        <w:rPr>
          <w:rFonts w:hint="eastAsia" w:ascii="黑体" w:hAnsi="黑体" w:eastAsia="黑体" w:cs="黑体"/>
          <w:sz w:val="32"/>
          <w:szCs w:val="32"/>
          <w:highlight w:val="none"/>
          <w:lang w:val="en-US" w:eastAsia="zh-CN"/>
        </w:rPr>
      </w:pPr>
    </w:p>
    <w:p w14:paraId="52669D96">
      <w:pPr>
        <w:widowControl/>
        <w:spacing w:line="600" w:lineRule="exact"/>
        <w:jc w:val="center"/>
        <w:rPr>
          <w:rFonts w:hint="eastAsia" w:ascii="方正小标宋简体" w:hAnsi="方正小标宋简体" w:eastAsia="方正小标宋简体" w:cs="方正小标宋简体"/>
          <w:color w:val="000000"/>
          <w:sz w:val="36"/>
          <w:szCs w:val="36"/>
          <w:highlight w:val="none"/>
        </w:rPr>
      </w:pPr>
      <w:r>
        <w:rPr>
          <w:rFonts w:hint="eastAsia" w:ascii="方正小标宋简体" w:hAnsi="方正小标宋简体" w:eastAsia="方正小标宋简体" w:cs="方正小标宋简体"/>
          <w:color w:val="000000"/>
          <w:sz w:val="36"/>
          <w:szCs w:val="36"/>
          <w:highlight w:val="none"/>
        </w:rPr>
        <w:t>202</w:t>
      </w:r>
      <w:r>
        <w:rPr>
          <w:rFonts w:hint="eastAsia" w:ascii="方正小标宋简体" w:hAnsi="方正小标宋简体" w:eastAsia="方正小标宋简体" w:cs="方正小标宋简体"/>
          <w:color w:val="000000"/>
          <w:sz w:val="36"/>
          <w:szCs w:val="36"/>
          <w:highlight w:val="none"/>
          <w:lang w:val="en-US" w:eastAsia="zh-CN"/>
        </w:rPr>
        <w:t>4</w:t>
      </w:r>
      <w:r>
        <w:rPr>
          <w:rFonts w:hint="eastAsia" w:ascii="方正小标宋简体" w:hAnsi="方正小标宋简体" w:eastAsia="方正小标宋简体" w:cs="方正小标宋简体"/>
          <w:color w:val="000000"/>
          <w:sz w:val="36"/>
          <w:szCs w:val="36"/>
          <w:highlight w:val="none"/>
        </w:rPr>
        <w:t>年度项目支出绩效自评表</w:t>
      </w:r>
    </w:p>
    <w:tbl>
      <w:tblPr>
        <w:tblStyle w:val="9"/>
        <w:tblW w:w="9851" w:type="dxa"/>
        <w:jc w:val="center"/>
        <w:tblLayout w:type="autofit"/>
        <w:tblCellMar>
          <w:top w:w="0" w:type="dxa"/>
          <w:left w:w="108" w:type="dxa"/>
          <w:bottom w:w="0" w:type="dxa"/>
          <w:right w:w="108" w:type="dxa"/>
        </w:tblCellMar>
      </w:tblPr>
      <w:tblGrid>
        <w:gridCol w:w="1059"/>
        <w:gridCol w:w="1060"/>
        <w:gridCol w:w="1050"/>
        <w:gridCol w:w="1457"/>
        <w:gridCol w:w="1067"/>
        <w:gridCol w:w="1108"/>
        <w:gridCol w:w="815"/>
        <w:gridCol w:w="862"/>
        <w:gridCol w:w="1373"/>
      </w:tblGrid>
      <w:tr w14:paraId="106E5F8C">
        <w:tblPrEx>
          <w:tblCellMar>
            <w:top w:w="0" w:type="dxa"/>
            <w:left w:w="108" w:type="dxa"/>
            <w:bottom w:w="0" w:type="dxa"/>
            <w:right w:w="108" w:type="dxa"/>
          </w:tblCellMar>
        </w:tblPrEx>
        <w:trPr>
          <w:jc w:val="center"/>
        </w:trPr>
        <w:tc>
          <w:tcPr>
            <w:tcW w:w="1059" w:type="dxa"/>
            <w:tcBorders>
              <w:top w:val="single" w:color="auto" w:sz="4" w:space="0"/>
              <w:left w:val="single" w:color="auto" w:sz="4" w:space="0"/>
              <w:bottom w:val="single" w:color="auto" w:sz="4" w:space="0"/>
              <w:right w:val="single" w:color="auto" w:sz="4" w:space="0"/>
            </w:tcBorders>
            <w:noWrap w:val="0"/>
            <w:vAlign w:val="center"/>
          </w:tcPr>
          <w:p w14:paraId="68ED2FBD">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项目支</w:t>
            </w:r>
          </w:p>
          <w:p w14:paraId="53919544">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出名称</w:t>
            </w:r>
          </w:p>
        </w:tc>
        <w:tc>
          <w:tcPr>
            <w:tcW w:w="8792" w:type="dxa"/>
            <w:gridSpan w:val="8"/>
            <w:tcBorders>
              <w:top w:val="single" w:color="auto" w:sz="4" w:space="0"/>
              <w:left w:val="nil"/>
              <w:bottom w:val="single" w:color="auto" w:sz="4" w:space="0"/>
              <w:right w:val="single" w:color="auto" w:sz="4" w:space="0"/>
            </w:tcBorders>
            <w:noWrap w:val="0"/>
            <w:vAlign w:val="center"/>
          </w:tcPr>
          <w:p w14:paraId="3D867A05">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rPr>
            </w:pPr>
            <w:r>
              <w:rPr>
                <w:rFonts w:hint="eastAsia" w:ascii="仿宋_GB2312" w:hAnsi="仿宋_GB2312" w:eastAsia="仿宋_GB2312" w:cs="仿宋_GB2312"/>
                <w:color w:val="000000"/>
                <w:sz w:val="20"/>
                <w:szCs w:val="20"/>
                <w:highlight w:val="none"/>
                <w:lang w:val="en-US" w:eastAsia="zh-CN"/>
              </w:rPr>
              <w:t>中央补助重大传染病防控项目</w:t>
            </w:r>
          </w:p>
        </w:tc>
      </w:tr>
      <w:tr w14:paraId="0D93A83A">
        <w:tblPrEx>
          <w:tblCellMar>
            <w:top w:w="0" w:type="dxa"/>
            <w:left w:w="108" w:type="dxa"/>
            <w:bottom w:w="0" w:type="dxa"/>
            <w:right w:w="108" w:type="dxa"/>
          </w:tblCellMar>
        </w:tblPrEx>
        <w:trPr>
          <w:jc w:val="center"/>
        </w:trPr>
        <w:tc>
          <w:tcPr>
            <w:tcW w:w="1059" w:type="dxa"/>
            <w:tcBorders>
              <w:top w:val="nil"/>
              <w:left w:val="single" w:color="auto" w:sz="4" w:space="0"/>
              <w:bottom w:val="single" w:color="auto" w:sz="4" w:space="0"/>
              <w:right w:val="single" w:color="auto" w:sz="4" w:space="0"/>
            </w:tcBorders>
            <w:noWrap w:val="0"/>
            <w:vAlign w:val="center"/>
          </w:tcPr>
          <w:p w14:paraId="4148A3A9">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主管部门</w:t>
            </w:r>
          </w:p>
        </w:tc>
        <w:tc>
          <w:tcPr>
            <w:tcW w:w="4634" w:type="dxa"/>
            <w:gridSpan w:val="4"/>
            <w:tcBorders>
              <w:top w:val="single" w:color="auto" w:sz="4" w:space="0"/>
              <w:left w:val="nil"/>
              <w:bottom w:val="single" w:color="auto" w:sz="4" w:space="0"/>
              <w:right w:val="single" w:color="auto" w:sz="4" w:space="0"/>
            </w:tcBorders>
            <w:noWrap w:val="0"/>
            <w:vAlign w:val="center"/>
          </w:tcPr>
          <w:p w14:paraId="2C6E2005">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108" w:type="dxa"/>
            <w:tcBorders>
              <w:top w:val="single" w:color="auto" w:sz="4" w:space="0"/>
              <w:left w:val="nil"/>
              <w:bottom w:val="single" w:color="auto" w:sz="4" w:space="0"/>
              <w:right w:val="single" w:color="000000" w:sz="4" w:space="0"/>
            </w:tcBorders>
            <w:noWrap w:val="0"/>
            <w:vAlign w:val="center"/>
          </w:tcPr>
          <w:p w14:paraId="792BA2E8">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实施单位</w:t>
            </w:r>
          </w:p>
        </w:tc>
        <w:tc>
          <w:tcPr>
            <w:tcW w:w="3050" w:type="dxa"/>
            <w:gridSpan w:val="3"/>
            <w:tcBorders>
              <w:top w:val="single" w:color="auto" w:sz="4" w:space="0"/>
              <w:left w:val="nil"/>
              <w:bottom w:val="single" w:color="auto" w:sz="4" w:space="0"/>
              <w:right w:val="single" w:color="auto" w:sz="4" w:space="0"/>
            </w:tcBorders>
            <w:noWrap w:val="0"/>
            <w:vAlign w:val="center"/>
          </w:tcPr>
          <w:p w14:paraId="2FF868BB">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14:paraId="689F7EF3">
        <w:tblPrEx>
          <w:tblCellMar>
            <w:top w:w="0" w:type="dxa"/>
            <w:left w:w="108" w:type="dxa"/>
            <w:bottom w:w="0" w:type="dxa"/>
            <w:right w:w="108" w:type="dxa"/>
          </w:tblCellMar>
        </w:tblPrEx>
        <w:trPr>
          <w:jc w:val="center"/>
        </w:trPr>
        <w:tc>
          <w:tcPr>
            <w:tcW w:w="1059" w:type="dxa"/>
            <w:vMerge w:val="restart"/>
            <w:tcBorders>
              <w:top w:val="nil"/>
              <w:left w:val="single" w:color="auto" w:sz="4" w:space="0"/>
              <w:bottom w:val="single" w:color="000000" w:sz="4" w:space="0"/>
              <w:right w:val="single" w:color="auto" w:sz="4" w:space="0"/>
            </w:tcBorders>
            <w:noWrap w:val="0"/>
            <w:vAlign w:val="center"/>
          </w:tcPr>
          <w:p w14:paraId="7B1B79BB">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项目资金</w:t>
            </w:r>
            <w:r>
              <w:rPr>
                <w:rFonts w:hint="eastAsia" w:ascii="仿宋_GB2312" w:hAnsi="仿宋_GB2312" w:eastAsia="仿宋_GB2312" w:cs="仿宋_GB2312"/>
                <w:color w:val="000000"/>
                <w:sz w:val="20"/>
                <w:szCs w:val="20"/>
                <w:highlight w:val="none"/>
              </w:rPr>
              <w:br w:type="textWrapping"/>
            </w:r>
            <w:r>
              <w:rPr>
                <w:rFonts w:hint="eastAsia" w:ascii="仿宋_GB2312" w:hAnsi="仿宋_GB2312" w:eastAsia="仿宋_GB2312" w:cs="仿宋_GB2312"/>
                <w:color w:val="000000"/>
                <w:sz w:val="20"/>
                <w:szCs w:val="20"/>
                <w:highlight w:val="none"/>
              </w:rPr>
              <w:t>（万元）</w:t>
            </w:r>
          </w:p>
        </w:tc>
        <w:tc>
          <w:tcPr>
            <w:tcW w:w="2110" w:type="dxa"/>
            <w:gridSpan w:val="2"/>
            <w:tcBorders>
              <w:top w:val="nil"/>
              <w:left w:val="nil"/>
              <w:bottom w:val="single" w:color="auto" w:sz="4" w:space="0"/>
              <w:right w:val="single" w:color="auto" w:sz="4" w:space="0"/>
            </w:tcBorders>
            <w:noWrap w:val="0"/>
            <w:vAlign w:val="center"/>
          </w:tcPr>
          <w:p w14:paraId="219AE8D1">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457" w:type="dxa"/>
            <w:tcBorders>
              <w:top w:val="nil"/>
              <w:left w:val="nil"/>
              <w:bottom w:val="single" w:color="auto" w:sz="4" w:space="0"/>
              <w:right w:val="single" w:color="auto" w:sz="4" w:space="0"/>
            </w:tcBorders>
            <w:noWrap w:val="0"/>
            <w:vAlign w:val="center"/>
          </w:tcPr>
          <w:p w14:paraId="36644286">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年初</w:t>
            </w:r>
          </w:p>
          <w:p w14:paraId="1357687B">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预算数</w:t>
            </w:r>
          </w:p>
        </w:tc>
        <w:tc>
          <w:tcPr>
            <w:tcW w:w="1067" w:type="dxa"/>
            <w:tcBorders>
              <w:top w:val="nil"/>
              <w:left w:val="nil"/>
              <w:bottom w:val="single" w:color="auto" w:sz="4" w:space="0"/>
              <w:right w:val="single" w:color="auto" w:sz="4" w:space="0"/>
            </w:tcBorders>
            <w:noWrap w:val="0"/>
            <w:vAlign w:val="center"/>
          </w:tcPr>
          <w:p w14:paraId="6A7EC785">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全年</w:t>
            </w:r>
          </w:p>
          <w:p w14:paraId="003EE5AC">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预算数</w:t>
            </w:r>
          </w:p>
        </w:tc>
        <w:tc>
          <w:tcPr>
            <w:tcW w:w="1108" w:type="dxa"/>
            <w:tcBorders>
              <w:top w:val="nil"/>
              <w:left w:val="nil"/>
              <w:bottom w:val="single" w:color="auto" w:sz="4" w:space="0"/>
              <w:right w:val="single" w:color="auto" w:sz="4" w:space="0"/>
            </w:tcBorders>
            <w:noWrap w:val="0"/>
            <w:vAlign w:val="center"/>
          </w:tcPr>
          <w:p w14:paraId="34FBC463">
            <w:pPr>
              <w:keepNext w:val="0"/>
              <w:keepLines w:val="0"/>
              <w:pageBreakBefore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全年</w:t>
            </w:r>
          </w:p>
          <w:p w14:paraId="3EB4A3D1">
            <w:pPr>
              <w:keepNext w:val="0"/>
              <w:keepLines w:val="0"/>
              <w:pageBreakBefore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执行数</w:t>
            </w:r>
          </w:p>
        </w:tc>
        <w:tc>
          <w:tcPr>
            <w:tcW w:w="815" w:type="dxa"/>
            <w:tcBorders>
              <w:top w:val="nil"/>
              <w:left w:val="nil"/>
              <w:bottom w:val="single" w:color="auto" w:sz="4" w:space="0"/>
              <w:right w:val="single" w:color="auto" w:sz="4" w:space="0"/>
            </w:tcBorders>
            <w:noWrap w:val="0"/>
            <w:vAlign w:val="center"/>
          </w:tcPr>
          <w:p w14:paraId="0A11D509">
            <w:pPr>
              <w:keepNext w:val="0"/>
              <w:keepLines w:val="0"/>
              <w:pageBreakBefore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分值</w:t>
            </w:r>
          </w:p>
        </w:tc>
        <w:tc>
          <w:tcPr>
            <w:tcW w:w="862" w:type="dxa"/>
            <w:tcBorders>
              <w:top w:val="nil"/>
              <w:left w:val="nil"/>
              <w:bottom w:val="single" w:color="auto" w:sz="4" w:space="0"/>
              <w:right w:val="single" w:color="auto" w:sz="4" w:space="0"/>
            </w:tcBorders>
            <w:noWrap w:val="0"/>
            <w:vAlign w:val="center"/>
          </w:tcPr>
          <w:p w14:paraId="692C251F">
            <w:pPr>
              <w:keepNext w:val="0"/>
              <w:keepLines w:val="0"/>
              <w:pageBreakBefore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执行率</w:t>
            </w:r>
          </w:p>
        </w:tc>
        <w:tc>
          <w:tcPr>
            <w:tcW w:w="1373" w:type="dxa"/>
            <w:tcBorders>
              <w:top w:val="nil"/>
              <w:left w:val="nil"/>
              <w:bottom w:val="single" w:color="auto" w:sz="4" w:space="0"/>
              <w:right w:val="single" w:color="auto" w:sz="4" w:space="0"/>
            </w:tcBorders>
            <w:noWrap w:val="0"/>
            <w:vAlign w:val="center"/>
          </w:tcPr>
          <w:p w14:paraId="1016FB05">
            <w:pPr>
              <w:keepNext w:val="0"/>
              <w:keepLines w:val="0"/>
              <w:pageBreakBefore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得分</w:t>
            </w:r>
          </w:p>
        </w:tc>
      </w:tr>
      <w:tr w14:paraId="4A7F0881">
        <w:trPr>
          <w:trHeight w:val="243" w:hRule="atLeast"/>
          <w:jc w:val="center"/>
        </w:trPr>
        <w:tc>
          <w:tcPr>
            <w:tcW w:w="1059" w:type="dxa"/>
            <w:vMerge w:val="continue"/>
            <w:tcBorders>
              <w:top w:val="nil"/>
              <w:left w:val="single" w:color="auto" w:sz="4" w:space="0"/>
              <w:bottom w:val="single" w:color="000000" w:sz="4" w:space="0"/>
              <w:right w:val="single" w:color="auto" w:sz="4" w:space="0"/>
            </w:tcBorders>
            <w:noWrap w:val="0"/>
            <w:vAlign w:val="center"/>
          </w:tcPr>
          <w:p w14:paraId="39557AA7">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2110" w:type="dxa"/>
            <w:gridSpan w:val="2"/>
            <w:tcBorders>
              <w:top w:val="nil"/>
              <w:left w:val="nil"/>
              <w:bottom w:val="single" w:color="auto" w:sz="4" w:space="0"/>
              <w:right w:val="single" w:color="auto" w:sz="4" w:space="0"/>
            </w:tcBorders>
            <w:noWrap w:val="0"/>
            <w:vAlign w:val="center"/>
          </w:tcPr>
          <w:p w14:paraId="4A7427F3">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年度资金总额　</w:t>
            </w:r>
          </w:p>
        </w:tc>
        <w:tc>
          <w:tcPr>
            <w:tcW w:w="1457" w:type="dxa"/>
            <w:tcBorders>
              <w:top w:val="nil"/>
              <w:left w:val="nil"/>
              <w:bottom w:val="single" w:color="auto" w:sz="4" w:space="0"/>
              <w:right w:val="single" w:color="auto" w:sz="4" w:space="0"/>
            </w:tcBorders>
            <w:noWrap w:val="0"/>
            <w:vAlign w:val="center"/>
          </w:tcPr>
          <w:p w14:paraId="2E5C9F6C">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　</w:t>
            </w:r>
            <w:r>
              <w:rPr>
                <w:rFonts w:hint="eastAsia" w:ascii="仿宋_GB2312" w:hAnsi="仿宋_GB2312" w:eastAsia="仿宋_GB2312" w:cs="仿宋_GB2312"/>
                <w:color w:val="000000"/>
                <w:sz w:val="20"/>
                <w:szCs w:val="20"/>
                <w:highlight w:val="none"/>
                <w:lang w:val="en-US" w:eastAsia="zh-CN"/>
              </w:rPr>
              <w:t>0</w:t>
            </w:r>
          </w:p>
        </w:tc>
        <w:tc>
          <w:tcPr>
            <w:tcW w:w="1067" w:type="dxa"/>
            <w:tcBorders>
              <w:top w:val="nil"/>
              <w:left w:val="nil"/>
              <w:bottom w:val="single" w:color="auto" w:sz="4" w:space="0"/>
              <w:right w:val="single" w:color="auto" w:sz="4" w:space="0"/>
            </w:tcBorders>
            <w:noWrap w:val="0"/>
            <w:vAlign w:val="center"/>
          </w:tcPr>
          <w:p w14:paraId="72ED7501">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265.84</w:t>
            </w:r>
            <w:r>
              <w:rPr>
                <w:rFonts w:hint="eastAsia" w:ascii="仿宋_GB2312" w:hAnsi="仿宋_GB2312" w:eastAsia="仿宋_GB2312" w:cs="仿宋_GB2312"/>
                <w:color w:val="000000"/>
                <w:sz w:val="20"/>
                <w:szCs w:val="20"/>
                <w:highlight w:val="none"/>
              </w:rPr>
              <w:t>　</w:t>
            </w:r>
          </w:p>
        </w:tc>
        <w:tc>
          <w:tcPr>
            <w:tcW w:w="1108" w:type="dxa"/>
            <w:tcBorders>
              <w:top w:val="nil"/>
              <w:left w:val="nil"/>
              <w:bottom w:val="single" w:color="auto" w:sz="4" w:space="0"/>
              <w:right w:val="single" w:color="auto" w:sz="4" w:space="0"/>
            </w:tcBorders>
            <w:noWrap w:val="0"/>
            <w:vAlign w:val="center"/>
          </w:tcPr>
          <w:p w14:paraId="1AC3F26D">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　</w:t>
            </w:r>
            <w:r>
              <w:rPr>
                <w:rFonts w:hint="eastAsia" w:ascii="仿宋_GB2312" w:hAnsi="仿宋_GB2312" w:eastAsia="仿宋_GB2312" w:cs="仿宋_GB2312"/>
                <w:color w:val="000000"/>
                <w:sz w:val="20"/>
                <w:szCs w:val="20"/>
                <w:highlight w:val="none"/>
                <w:lang w:val="en-US" w:eastAsia="zh-CN"/>
              </w:rPr>
              <w:t>265.84</w:t>
            </w:r>
          </w:p>
        </w:tc>
        <w:tc>
          <w:tcPr>
            <w:tcW w:w="815" w:type="dxa"/>
            <w:tcBorders>
              <w:top w:val="nil"/>
              <w:left w:val="nil"/>
              <w:bottom w:val="single" w:color="auto" w:sz="4" w:space="0"/>
              <w:right w:val="single" w:color="auto" w:sz="4" w:space="0"/>
            </w:tcBorders>
            <w:noWrap w:val="0"/>
            <w:vAlign w:val="center"/>
          </w:tcPr>
          <w:p w14:paraId="72C02173">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10</w:t>
            </w:r>
          </w:p>
        </w:tc>
        <w:tc>
          <w:tcPr>
            <w:tcW w:w="862" w:type="dxa"/>
            <w:tcBorders>
              <w:top w:val="nil"/>
              <w:left w:val="nil"/>
              <w:bottom w:val="single" w:color="auto" w:sz="4" w:space="0"/>
              <w:right w:val="single" w:color="auto" w:sz="4" w:space="0"/>
            </w:tcBorders>
            <w:noWrap w:val="0"/>
            <w:vAlign w:val="center"/>
          </w:tcPr>
          <w:p w14:paraId="18AB7ABE">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　</w:t>
            </w:r>
            <w:r>
              <w:rPr>
                <w:rFonts w:hint="eastAsia" w:ascii="仿宋_GB2312" w:hAnsi="仿宋_GB2312" w:eastAsia="仿宋_GB2312" w:cs="仿宋_GB2312"/>
                <w:color w:val="000000"/>
                <w:sz w:val="20"/>
                <w:szCs w:val="20"/>
                <w:highlight w:val="none"/>
                <w:lang w:val="en-US" w:eastAsia="zh-CN"/>
              </w:rPr>
              <w:t>100%</w:t>
            </w:r>
          </w:p>
        </w:tc>
        <w:tc>
          <w:tcPr>
            <w:tcW w:w="1373" w:type="dxa"/>
            <w:tcBorders>
              <w:top w:val="nil"/>
              <w:left w:val="nil"/>
              <w:bottom w:val="single" w:color="auto" w:sz="4" w:space="0"/>
              <w:right w:val="single" w:color="auto" w:sz="4" w:space="0"/>
            </w:tcBorders>
            <w:noWrap w:val="0"/>
            <w:vAlign w:val="center"/>
          </w:tcPr>
          <w:p w14:paraId="1FE57987">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　</w:t>
            </w:r>
            <w:r>
              <w:rPr>
                <w:rFonts w:hint="eastAsia" w:ascii="仿宋_GB2312" w:hAnsi="仿宋_GB2312" w:eastAsia="仿宋_GB2312" w:cs="仿宋_GB2312"/>
                <w:color w:val="000000"/>
                <w:sz w:val="20"/>
                <w:szCs w:val="20"/>
                <w:highlight w:val="none"/>
                <w:lang w:val="en-US" w:eastAsia="zh-CN"/>
              </w:rPr>
              <w:t>10</w:t>
            </w:r>
          </w:p>
        </w:tc>
      </w:tr>
      <w:tr w14:paraId="425375B6">
        <w:tblPrEx>
          <w:tblCellMar>
            <w:top w:w="0" w:type="dxa"/>
            <w:left w:w="108" w:type="dxa"/>
            <w:bottom w:w="0" w:type="dxa"/>
            <w:right w:w="108" w:type="dxa"/>
          </w:tblCellMar>
        </w:tblPrEx>
        <w:trPr>
          <w:jc w:val="center"/>
        </w:trPr>
        <w:tc>
          <w:tcPr>
            <w:tcW w:w="1059" w:type="dxa"/>
            <w:vMerge w:val="continue"/>
            <w:tcBorders>
              <w:top w:val="nil"/>
              <w:left w:val="single" w:color="auto" w:sz="4" w:space="0"/>
              <w:bottom w:val="single" w:color="000000" w:sz="4" w:space="0"/>
              <w:right w:val="single" w:color="auto" w:sz="4" w:space="0"/>
            </w:tcBorders>
            <w:noWrap w:val="0"/>
            <w:vAlign w:val="center"/>
          </w:tcPr>
          <w:p w14:paraId="6AB12CA6">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2110" w:type="dxa"/>
            <w:gridSpan w:val="2"/>
            <w:tcBorders>
              <w:top w:val="nil"/>
              <w:left w:val="nil"/>
              <w:bottom w:val="single" w:color="auto" w:sz="4" w:space="0"/>
              <w:right w:val="single" w:color="auto" w:sz="4" w:space="0"/>
            </w:tcBorders>
            <w:noWrap w:val="0"/>
            <w:vAlign w:val="center"/>
          </w:tcPr>
          <w:p w14:paraId="064D44EB">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其中：当年财政拨款　</w:t>
            </w:r>
          </w:p>
        </w:tc>
        <w:tc>
          <w:tcPr>
            <w:tcW w:w="1457" w:type="dxa"/>
            <w:tcBorders>
              <w:top w:val="nil"/>
              <w:left w:val="nil"/>
              <w:bottom w:val="single" w:color="auto" w:sz="4" w:space="0"/>
              <w:right w:val="single" w:color="auto" w:sz="4" w:space="0"/>
            </w:tcBorders>
            <w:noWrap w:val="0"/>
            <w:vAlign w:val="center"/>
          </w:tcPr>
          <w:p w14:paraId="04A19A76">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067" w:type="dxa"/>
            <w:tcBorders>
              <w:top w:val="nil"/>
              <w:left w:val="nil"/>
              <w:bottom w:val="single" w:color="auto" w:sz="4" w:space="0"/>
              <w:right w:val="single" w:color="auto" w:sz="4" w:space="0"/>
            </w:tcBorders>
            <w:noWrap w:val="0"/>
            <w:vAlign w:val="center"/>
          </w:tcPr>
          <w:p w14:paraId="025BC72E">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265.84</w:t>
            </w:r>
          </w:p>
        </w:tc>
        <w:tc>
          <w:tcPr>
            <w:tcW w:w="1108" w:type="dxa"/>
            <w:tcBorders>
              <w:top w:val="nil"/>
              <w:left w:val="nil"/>
              <w:bottom w:val="single" w:color="auto" w:sz="4" w:space="0"/>
              <w:right w:val="single" w:color="auto" w:sz="4" w:space="0"/>
            </w:tcBorders>
            <w:noWrap w:val="0"/>
            <w:vAlign w:val="center"/>
          </w:tcPr>
          <w:p w14:paraId="2B68D54C">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　</w:t>
            </w:r>
            <w:r>
              <w:rPr>
                <w:rFonts w:hint="eastAsia" w:ascii="仿宋_GB2312" w:hAnsi="仿宋_GB2312" w:eastAsia="仿宋_GB2312" w:cs="仿宋_GB2312"/>
                <w:color w:val="000000"/>
                <w:sz w:val="20"/>
                <w:szCs w:val="20"/>
                <w:highlight w:val="none"/>
                <w:lang w:val="en-US" w:eastAsia="zh-CN"/>
              </w:rPr>
              <w:t>265.84</w:t>
            </w:r>
          </w:p>
        </w:tc>
        <w:tc>
          <w:tcPr>
            <w:tcW w:w="815" w:type="dxa"/>
            <w:tcBorders>
              <w:top w:val="nil"/>
              <w:left w:val="nil"/>
              <w:bottom w:val="single" w:color="auto" w:sz="4" w:space="0"/>
              <w:right w:val="single" w:color="auto" w:sz="4" w:space="0"/>
            </w:tcBorders>
            <w:noWrap w:val="0"/>
            <w:vAlign w:val="center"/>
          </w:tcPr>
          <w:p w14:paraId="05E185ED">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862" w:type="dxa"/>
            <w:tcBorders>
              <w:top w:val="nil"/>
              <w:left w:val="nil"/>
              <w:bottom w:val="single" w:color="auto" w:sz="4" w:space="0"/>
              <w:right w:val="single" w:color="auto" w:sz="4" w:space="0"/>
            </w:tcBorders>
            <w:noWrap w:val="0"/>
            <w:vAlign w:val="center"/>
          </w:tcPr>
          <w:p w14:paraId="50682687">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373" w:type="dxa"/>
            <w:tcBorders>
              <w:top w:val="nil"/>
              <w:left w:val="nil"/>
              <w:bottom w:val="single" w:color="auto" w:sz="4" w:space="0"/>
              <w:right w:val="single" w:color="auto" w:sz="4" w:space="0"/>
            </w:tcBorders>
            <w:noWrap w:val="0"/>
            <w:vAlign w:val="center"/>
          </w:tcPr>
          <w:p w14:paraId="3F1DA368">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14:paraId="648BD957">
        <w:tblPrEx>
          <w:tblCellMar>
            <w:top w:w="0" w:type="dxa"/>
            <w:left w:w="108" w:type="dxa"/>
            <w:bottom w:w="0" w:type="dxa"/>
            <w:right w:w="108" w:type="dxa"/>
          </w:tblCellMar>
        </w:tblPrEx>
        <w:trPr>
          <w:jc w:val="center"/>
        </w:trPr>
        <w:tc>
          <w:tcPr>
            <w:tcW w:w="1059" w:type="dxa"/>
            <w:vMerge w:val="continue"/>
            <w:tcBorders>
              <w:top w:val="nil"/>
              <w:left w:val="single" w:color="auto" w:sz="4" w:space="0"/>
              <w:bottom w:val="single" w:color="000000" w:sz="4" w:space="0"/>
              <w:right w:val="single" w:color="auto" w:sz="4" w:space="0"/>
            </w:tcBorders>
            <w:noWrap w:val="0"/>
            <w:vAlign w:val="center"/>
          </w:tcPr>
          <w:p w14:paraId="28461221">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2110" w:type="dxa"/>
            <w:gridSpan w:val="2"/>
            <w:tcBorders>
              <w:top w:val="nil"/>
              <w:left w:val="nil"/>
              <w:bottom w:val="single" w:color="auto" w:sz="4" w:space="0"/>
              <w:right w:val="single" w:color="auto" w:sz="4" w:space="0"/>
            </w:tcBorders>
            <w:noWrap w:val="0"/>
            <w:vAlign w:val="center"/>
          </w:tcPr>
          <w:p w14:paraId="1181CBC3">
            <w:pPr>
              <w:keepNext w:val="0"/>
              <w:keepLines w:val="0"/>
              <w:pageBreakBefore w:val="0"/>
              <w:widowControl/>
              <w:kinsoku/>
              <w:wordWrap/>
              <w:overflowPunct/>
              <w:topLinePunct w:val="0"/>
              <w:autoSpaceDE/>
              <w:autoSpaceDN/>
              <w:bidi w:val="0"/>
              <w:adjustRightInd/>
              <w:snapToGrid/>
              <w:spacing w:line="260" w:lineRule="exact"/>
              <w:ind w:firstLine="600" w:firstLineChars="300"/>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上年结转资金　</w:t>
            </w:r>
          </w:p>
        </w:tc>
        <w:tc>
          <w:tcPr>
            <w:tcW w:w="1457" w:type="dxa"/>
            <w:tcBorders>
              <w:top w:val="nil"/>
              <w:left w:val="nil"/>
              <w:bottom w:val="single" w:color="auto" w:sz="4" w:space="0"/>
              <w:right w:val="single" w:color="auto" w:sz="4" w:space="0"/>
            </w:tcBorders>
            <w:noWrap w:val="0"/>
            <w:vAlign w:val="center"/>
          </w:tcPr>
          <w:p w14:paraId="01BF814C">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067" w:type="dxa"/>
            <w:tcBorders>
              <w:top w:val="nil"/>
              <w:left w:val="nil"/>
              <w:bottom w:val="single" w:color="auto" w:sz="4" w:space="0"/>
              <w:right w:val="single" w:color="auto" w:sz="4" w:space="0"/>
            </w:tcBorders>
            <w:noWrap w:val="0"/>
            <w:vAlign w:val="center"/>
          </w:tcPr>
          <w:p w14:paraId="0359DCC3">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108" w:type="dxa"/>
            <w:tcBorders>
              <w:top w:val="nil"/>
              <w:left w:val="nil"/>
              <w:bottom w:val="single" w:color="auto" w:sz="4" w:space="0"/>
              <w:right w:val="single" w:color="auto" w:sz="4" w:space="0"/>
            </w:tcBorders>
            <w:noWrap w:val="0"/>
            <w:vAlign w:val="center"/>
          </w:tcPr>
          <w:p w14:paraId="68CC4EF7">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815" w:type="dxa"/>
            <w:tcBorders>
              <w:top w:val="nil"/>
              <w:left w:val="nil"/>
              <w:bottom w:val="single" w:color="auto" w:sz="4" w:space="0"/>
              <w:right w:val="single" w:color="auto" w:sz="4" w:space="0"/>
            </w:tcBorders>
            <w:noWrap w:val="0"/>
            <w:vAlign w:val="center"/>
          </w:tcPr>
          <w:p w14:paraId="6AE0FFA6">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862" w:type="dxa"/>
            <w:tcBorders>
              <w:top w:val="nil"/>
              <w:left w:val="nil"/>
              <w:bottom w:val="single" w:color="auto" w:sz="4" w:space="0"/>
              <w:right w:val="single" w:color="auto" w:sz="4" w:space="0"/>
            </w:tcBorders>
            <w:noWrap w:val="0"/>
            <w:vAlign w:val="center"/>
          </w:tcPr>
          <w:p w14:paraId="67BB914A">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373" w:type="dxa"/>
            <w:tcBorders>
              <w:top w:val="nil"/>
              <w:left w:val="nil"/>
              <w:bottom w:val="single" w:color="auto" w:sz="4" w:space="0"/>
              <w:right w:val="single" w:color="auto" w:sz="4" w:space="0"/>
            </w:tcBorders>
            <w:noWrap w:val="0"/>
            <w:vAlign w:val="center"/>
          </w:tcPr>
          <w:p w14:paraId="09F8E654">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14:paraId="64EA9B8F">
        <w:tblPrEx>
          <w:tblCellMar>
            <w:top w:w="0" w:type="dxa"/>
            <w:left w:w="108" w:type="dxa"/>
            <w:bottom w:w="0" w:type="dxa"/>
            <w:right w:w="108" w:type="dxa"/>
          </w:tblCellMar>
        </w:tblPrEx>
        <w:trPr>
          <w:jc w:val="center"/>
        </w:trPr>
        <w:tc>
          <w:tcPr>
            <w:tcW w:w="1059" w:type="dxa"/>
            <w:vMerge w:val="continue"/>
            <w:tcBorders>
              <w:top w:val="nil"/>
              <w:left w:val="single" w:color="auto" w:sz="4" w:space="0"/>
              <w:bottom w:val="single" w:color="000000" w:sz="4" w:space="0"/>
              <w:right w:val="single" w:color="auto" w:sz="4" w:space="0"/>
            </w:tcBorders>
            <w:noWrap w:val="0"/>
            <w:vAlign w:val="center"/>
          </w:tcPr>
          <w:p w14:paraId="61836E48">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2110" w:type="dxa"/>
            <w:gridSpan w:val="2"/>
            <w:tcBorders>
              <w:top w:val="nil"/>
              <w:left w:val="nil"/>
              <w:bottom w:val="single" w:color="auto" w:sz="4" w:space="0"/>
              <w:right w:val="single" w:color="auto" w:sz="4" w:space="0"/>
            </w:tcBorders>
            <w:noWrap w:val="0"/>
            <w:vAlign w:val="center"/>
          </w:tcPr>
          <w:p w14:paraId="01DDB38C">
            <w:pPr>
              <w:keepNext w:val="0"/>
              <w:keepLines w:val="0"/>
              <w:pageBreakBefore w:val="0"/>
              <w:widowControl/>
              <w:kinsoku/>
              <w:wordWrap/>
              <w:overflowPunct/>
              <w:topLinePunct w:val="0"/>
              <w:autoSpaceDE/>
              <w:autoSpaceDN/>
              <w:bidi w:val="0"/>
              <w:adjustRightInd/>
              <w:snapToGrid/>
              <w:spacing w:line="260" w:lineRule="exact"/>
              <w:ind w:firstLine="600" w:firstLineChars="300"/>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其他资金</w:t>
            </w:r>
          </w:p>
        </w:tc>
        <w:tc>
          <w:tcPr>
            <w:tcW w:w="1457" w:type="dxa"/>
            <w:tcBorders>
              <w:top w:val="nil"/>
              <w:left w:val="nil"/>
              <w:bottom w:val="single" w:color="auto" w:sz="4" w:space="0"/>
              <w:right w:val="single" w:color="auto" w:sz="4" w:space="0"/>
            </w:tcBorders>
            <w:noWrap w:val="0"/>
            <w:vAlign w:val="center"/>
          </w:tcPr>
          <w:p w14:paraId="6E355214">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067" w:type="dxa"/>
            <w:tcBorders>
              <w:top w:val="nil"/>
              <w:left w:val="nil"/>
              <w:bottom w:val="single" w:color="auto" w:sz="4" w:space="0"/>
              <w:right w:val="single" w:color="auto" w:sz="4" w:space="0"/>
            </w:tcBorders>
            <w:noWrap w:val="0"/>
            <w:vAlign w:val="center"/>
          </w:tcPr>
          <w:p w14:paraId="105586CB">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108" w:type="dxa"/>
            <w:tcBorders>
              <w:top w:val="nil"/>
              <w:left w:val="nil"/>
              <w:bottom w:val="single" w:color="auto" w:sz="4" w:space="0"/>
              <w:right w:val="single" w:color="auto" w:sz="4" w:space="0"/>
            </w:tcBorders>
            <w:noWrap w:val="0"/>
            <w:vAlign w:val="center"/>
          </w:tcPr>
          <w:p w14:paraId="7D4F88A2">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815" w:type="dxa"/>
            <w:tcBorders>
              <w:top w:val="nil"/>
              <w:left w:val="nil"/>
              <w:bottom w:val="single" w:color="auto" w:sz="4" w:space="0"/>
              <w:right w:val="single" w:color="auto" w:sz="4" w:space="0"/>
            </w:tcBorders>
            <w:noWrap w:val="0"/>
            <w:vAlign w:val="center"/>
          </w:tcPr>
          <w:p w14:paraId="08FB49B6">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862" w:type="dxa"/>
            <w:tcBorders>
              <w:top w:val="nil"/>
              <w:left w:val="nil"/>
              <w:bottom w:val="single" w:color="auto" w:sz="4" w:space="0"/>
              <w:right w:val="single" w:color="auto" w:sz="4" w:space="0"/>
            </w:tcBorders>
            <w:noWrap w:val="0"/>
            <w:vAlign w:val="center"/>
          </w:tcPr>
          <w:p w14:paraId="34EFAC18">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373" w:type="dxa"/>
            <w:tcBorders>
              <w:top w:val="nil"/>
              <w:left w:val="nil"/>
              <w:bottom w:val="single" w:color="auto" w:sz="4" w:space="0"/>
              <w:right w:val="single" w:color="auto" w:sz="4" w:space="0"/>
            </w:tcBorders>
            <w:noWrap w:val="0"/>
            <w:vAlign w:val="center"/>
          </w:tcPr>
          <w:p w14:paraId="50AD729C">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14:paraId="63F87AEB">
        <w:tblPrEx>
          <w:tblCellMar>
            <w:top w:w="0" w:type="dxa"/>
            <w:left w:w="108" w:type="dxa"/>
            <w:bottom w:w="0" w:type="dxa"/>
            <w:right w:w="108" w:type="dxa"/>
          </w:tblCellMar>
        </w:tblPrEx>
        <w:trPr>
          <w:jc w:val="center"/>
        </w:trPr>
        <w:tc>
          <w:tcPr>
            <w:tcW w:w="1059" w:type="dxa"/>
            <w:vMerge w:val="restart"/>
            <w:tcBorders>
              <w:top w:val="nil"/>
              <w:left w:val="single" w:color="auto" w:sz="4" w:space="0"/>
              <w:bottom w:val="single" w:color="000000" w:sz="4" w:space="0"/>
              <w:right w:val="single" w:color="auto" w:sz="4" w:space="0"/>
            </w:tcBorders>
            <w:noWrap w:val="0"/>
            <w:vAlign w:val="center"/>
          </w:tcPr>
          <w:p w14:paraId="4B4FC5B0">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年度总体目标</w:t>
            </w:r>
          </w:p>
        </w:tc>
        <w:tc>
          <w:tcPr>
            <w:tcW w:w="4634" w:type="dxa"/>
            <w:gridSpan w:val="4"/>
            <w:tcBorders>
              <w:top w:val="single" w:color="auto" w:sz="4" w:space="0"/>
              <w:left w:val="nil"/>
              <w:bottom w:val="single" w:color="auto" w:sz="4" w:space="0"/>
              <w:right w:val="single" w:color="000000" w:sz="4" w:space="0"/>
            </w:tcBorders>
            <w:noWrap w:val="0"/>
            <w:vAlign w:val="center"/>
          </w:tcPr>
          <w:p w14:paraId="2A5D7D4B">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预期目标</w:t>
            </w:r>
          </w:p>
        </w:tc>
        <w:tc>
          <w:tcPr>
            <w:tcW w:w="4158" w:type="dxa"/>
            <w:gridSpan w:val="4"/>
            <w:tcBorders>
              <w:top w:val="single" w:color="auto" w:sz="4" w:space="0"/>
              <w:left w:val="nil"/>
              <w:bottom w:val="single" w:color="auto" w:sz="4" w:space="0"/>
              <w:right w:val="single" w:color="auto" w:sz="4" w:space="0"/>
            </w:tcBorders>
            <w:noWrap w:val="0"/>
            <w:vAlign w:val="center"/>
          </w:tcPr>
          <w:p w14:paraId="7A11929D">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实际完成情况　</w:t>
            </w:r>
          </w:p>
        </w:tc>
      </w:tr>
      <w:tr w14:paraId="60CEA988">
        <w:tblPrEx>
          <w:tblCellMar>
            <w:top w:w="0" w:type="dxa"/>
            <w:left w:w="108" w:type="dxa"/>
            <w:bottom w:w="0" w:type="dxa"/>
            <w:right w:w="108" w:type="dxa"/>
          </w:tblCellMar>
        </w:tblPrEx>
        <w:trPr>
          <w:jc w:val="center"/>
        </w:trPr>
        <w:tc>
          <w:tcPr>
            <w:tcW w:w="1059" w:type="dxa"/>
            <w:vMerge w:val="continue"/>
            <w:tcBorders>
              <w:top w:val="nil"/>
              <w:left w:val="single" w:color="auto" w:sz="4" w:space="0"/>
              <w:bottom w:val="single" w:color="000000" w:sz="4" w:space="0"/>
              <w:right w:val="single" w:color="auto" w:sz="4" w:space="0"/>
            </w:tcBorders>
            <w:noWrap w:val="0"/>
            <w:vAlign w:val="center"/>
          </w:tcPr>
          <w:p w14:paraId="202B191A">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4634" w:type="dxa"/>
            <w:gridSpan w:val="4"/>
            <w:tcBorders>
              <w:top w:val="single" w:color="auto" w:sz="4" w:space="0"/>
              <w:left w:val="nil"/>
              <w:bottom w:val="single" w:color="auto" w:sz="4" w:space="0"/>
              <w:right w:val="single" w:color="000000" w:sz="4" w:space="0"/>
            </w:tcBorders>
            <w:noWrap w:val="0"/>
            <w:vAlign w:val="center"/>
          </w:tcPr>
          <w:p w14:paraId="5E630E53">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4158" w:type="dxa"/>
            <w:gridSpan w:val="4"/>
            <w:tcBorders>
              <w:top w:val="single" w:color="auto" w:sz="4" w:space="0"/>
              <w:left w:val="nil"/>
              <w:bottom w:val="single" w:color="auto" w:sz="4" w:space="0"/>
              <w:right w:val="single" w:color="auto" w:sz="4" w:space="0"/>
            </w:tcBorders>
            <w:noWrap w:val="0"/>
            <w:vAlign w:val="center"/>
          </w:tcPr>
          <w:p w14:paraId="03D862B2">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14:paraId="0A13898F">
        <w:tblPrEx>
          <w:tblCellMar>
            <w:top w:w="0" w:type="dxa"/>
            <w:left w:w="108" w:type="dxa"/>
            <w:bottom w:w="0" w:type="dxa"/>
            <w:right w:w="108" w:type="dxa"/>
          </w:tblCellMar>
        </w:tblPrEx>
        <w:trPr>
          <w:jc w:val="center"/>
        </w:trPr>
        <w:tc>
          <w:tcPr>
            <w:tcW w:w="1059" w:type="dxa"/>
            <w:vMerge w:val="restart"/>
            <w:tcBorders>
              <w:top w:val="nil"/>
              <w:left w:val="single" w:color="auto" w:sz="4" w:space="0"/>
              <w:right w:val="single" w:color="auto" w:sz="4" w:space="0"/>
            </w:tcBorders>
            <w:noWrap w:val="0"/>
            <w:vAlign w:val="center"/>
          </w:tcPr>
          <w:p w14:paraId="5501D984">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绩</w:t>
            </w:r>
          </w:p>
          <w:p w14:paraId="04516FFA">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效</w:t>
            </w:r>
          </w:p>
          <w:p w14:paraId="774B65E8">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指</w:t>
            </w:r>
          </w:p>
          <w:p w14:paraId="72D94C4F">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标</w:t>
            </w:r>
          </w:p>
        </w:tc>
        <w:tc>
          <w:tcPr>
            <w:tcW w:w="1060" w:type="dxa"/>
            <w:tcBorders>
              <w:top w:val="nil"/>
              <w:left w:val="nil"/>
              <w:bottom w:val="single" w:color="auto" w:sz="4" w:space="0"/>
              <w:right w:val="single" w:color="auto" w:sz="4" w:space="0"/>
            </w:tcBorders>
            <w:noWrap w:val="0"/>
            <w:vAlign w:val="center"/>
          </w:tcPr>
          <w:p w14:paraId="5FAD68B1">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一级指标</w:t>
            </w:r>
          </w:p>
        </w:tc>
        <w:tc>
          <w:tcPr>
            <w:tcW w:w="1050" w:type="dxa"/>
            <w:tcBorders>
              <w:top w:val="nil"/>
              <w:left w:val="nil"/>
              <w:bottom w:val="single" w:color="auto" w:sz="4" w:space="0"/>
              <w:right w:val="single" w:color="auto" w:sz="4" w:space="0"/>
            </w:tcBorders>
            <w:noWrap w:val="0"/>
            <w:vAlign w:val="center"/>
          </w:tcPr>
          <w:p w14:paraId="5FA99314">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二级指标</w:t>
            </w:r>
          </w:p>
        </w:tc>
        <w:tc>
          <w:tcPr>
            <w:tcW w:w="1457" w:type="dxa"/>
            <w:tcBorders>
              <w:top w:val="nil"/>
              <w:left w:val="nil"/>
              <w:bottom w:val="single" w:color="auto" w:sz="4" w:space="0"/>
              <w:right w:val="single" w:color="auto" w:sz="4" w:space="0"/>
            </w:tcBorders>
            <w:noWrap w:val="0"/>
            <w:vAlign w:val="center"/>
          </w:tcPr>
          <w:p w14:paraId="23ECD765">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三级指标</w:t>
            </w:r>
          </w:p>
        </w:tc>
        <w:tc>
          <w:tcPr>
            <w:tcW w:w="1067" w:type="dxa"/>
            <w:tcBorders>
              <w:top w:val="nil"/>
              <w:left w:val="nil"/>
              <w:bottom w:val="single" w:color="auto" w:sz="4" w:space="0"/>
              <w:right w:val="single" w:color="auto" w:sz="4" w:space="0"/>
            </w:tcBorders>
            <w:noWrap w:val="0"/>
            <w:vAlign w:val="center"/>
          </w:tcPr>
          <w:p w14:paraId="18E49930">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年度</w:t>
            </w:r>
          </w:p>
          <w:p w14:paraId="677F3182">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指标值</w:t>
            </w:r>
          </w:p>
        </w:tc>
        <w:tc>
          <w:tcPr>
            <w:tcW w:w="1108" w:type="dxa"/>
            <w:tcBorders>
              <w:top w:val="nil"/>
              <w:left w:val="nil"/>
              <w:bottom w:val="single" w:color="auto" w:sz="4" w:space="0"/>
              <w:right w:val="single" w:color="auto" w:sz="4" w:space="0"/>
            </w:tcBorders>
            <w:noWrap w:val="0"/>
            <w:vAlign w:val="center"/>
          </w:tcPr>
          <w:p w14:paraId="48BC6D2F">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实际</w:t>
            </w:r>
          </w:p>
          <w:p w14:paraId="297DAC2E">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完成值</w:t>
            </w:r>
          </w:p>
        </w:tc>
        <w:tc>
          <w:tcPr>
            <w:tcW w:w="815" w:type="dxa"/>
            <w:tcBorders>
              <w:top w:val="nil"/>
              <w:left w:val="nil"/>
              <w:bottom w:val="single" w:color="auto" w:sz="4" w:space="0"/>
              <w:right w:val="single" w:color="auto" w:sz="4" w:space="0"/>
            </w:tcBorders>
            <w:noWrap w:val="0"/>
            <w:vAlign w:val="center"/>
          </w:tcPr>
          <w:p w14:paraId="439E0AE3">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分值</w:t>
            </w:r>
          </w:p>
        </w:tc>
        <w:tc>
          <w:tcPr>
            <w:tcW w:w="862" w:type="dxa"/>
            <w:tcBorders>
              <w:top w:val="nil"/>
              <w:left w:val="nil"/>
              <w:bottom w:val="single" w:color="auto" w:sz="4" w:space="0"/>
              <w:right w:val="single" w:color="auto" w:sz="4" w:space="0"/>
            </w:tcBorders>
            <w:noWrap w:val="0"/>
            <w:vAlign w:val="center"/>
          </w:tcPr>
          <w:p w14:paraId="1145438A">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得分</w:t>
            </w:r>
          </w:p>
        </w:tc>
        <w:tc>
          <w:tcPr>
            <w:tcW w:w="1373" w:type="dxa"/>
            <w:tcBorders>
              <w:top w:val="nil"/>
              <w:left w:val="nil"/>
              <w:bottom w:val="single" w:color="auto" w:sz="4" w:space="0"/>
              <w:right w:val="single" w:color="auto" w:sz="4" w:space="0"/>
            </w:tcBorders>
            <w:noWrap w:val="0"/>
            <w:vAlign w:val="center"/>
          </w:tcPr>
          <w:p w14:paraId="002F8E33">
            <w:pPr>
              <w:keepNext w:val="0"/>
              <w:keepLines w:val="0"/>
              <w:pageBreakBefore w:val="0"/>
              <w:widowControl/>
              <w:kinsoku/>
              <w:wordWrap/>
              <w:overflowPunct/>
              <w:topLinePunct w:val="0"/>
              <w:autoSpaceDE/>
              <w:autoSpaceDN/>
              <w:bidi w:val="0"/>
              <w:adjustRightInd/>
              <w:snapToGrid/>
              <w:spacing w:line="260" w:lineRule="exact"/>
              <w:jc w:val="both"/>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偏差原因分析及改进措施</w:t>
            </w:r>
          </w:p>
        </w:tc>
      </w:tr>
      <w:tr w14:paraId="02B9DA9A">
        <w:tblPrEx>
          <w:tblCellMar>
            <w:top w:w="0" w:type="dxa"/>
            <w:left w:w="108" w:type="dxa"/>
            <w:bottom w:w="0" w:type="dxa"/>
            <w:right w:w="108" w:type="dxa"/>
          </w:tblCellMar>
        </w:tblPrEx>
        <w:trPr>
          <w:jc w:val="center"/>
        </w:trPr>
        <w:tc>
          <w:tcPr>
            <w:tcW w:w="1059" w:type="dxa"/>
            <w:vMerge w:val="continue"/>
            <w:tcBorders>
              <w:left w:val="single" w:color="auto" w:sz="4" w:space="0"/>
              <w:right w:val="single" w:color="auto" w:sz="4" w:space="0"/>
            </w:tcBorders>
            <w:noWrap w:val="0"/>
            <w:vAlign w:val="center"/>
          </w:tcPr>
          <w:p w14:paraId="396CEF69">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60" w:type="dxa"/>
            <w:vMerge w:val="restart"/>
            <w:tcBorders>
              <w:top w:val="nil"/>
              <w:left w:val="nil"/>
              <w:right w:val="single" w:color="auto" w:sz="4" w:space="0"/>
            </w:tcBorders>
            <w:noWrap w:val="0"/>
            <w:vAlign w:val="center"/>
          </w:tcPr>
          <w:p w14:paraId="5205C3F5">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产出指标</w:t>
            </w:r>
          </w:p>
          <w:p w14:paraId="0688216B">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p w14:paraId="1C3E1034">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(50分)</w:t>
            </w:r>
          </w:p>
        </w:tc>
        <w:tc>
          <w:tcPr>
            <w:tcW w:w="1050" w:type="dxa"/>
            <w:vMerge w:val="restart"/>
            <w:tcBorders>
              <w:top w:val="nil"/>
              <w:left w:val="nil"/>
              <w:right w:val="single" w:color="auto" w:sz="4" w:space="0"/>
            </w:tcBorders>
            <w:noWrap w:val="0"/>
            <w:vAlign w:val="center"/>
          </w:tcPr>
          <w:p w14:paraId="3671EA2F">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数量指标</w:t>
            </w:r>
          </w:p>
        </w:tc>
        <w:tc>
          <w:tcPr>
            <w:tcW w:w="1457" w:type="dxa"/>
            <w:tcBorders>
              <w:top w:val="nil"/>
              <w:left w:val="nil"/>
              <w:bottom w:val="single" w:color="auto" w:sz="4" w:space="0"/>
              <w:right w:val="single" w:color="auto" w:sz="4" w:space="0"/>
            </w:tcBorders>
            <w:noWrap w:val="0"/>
            <w:vAlign w:val="center"/>
          </w:tcPr>
          <w:p w14:paraId="493D99F4">
            <w:pPr>
              <w:spacing w:line="240" w:lineRule="exact"/>
              <w:jc w:val="center"/>
              <w:rPr>
                <w:rFonts w:hint="eastAsia" w:ascii="仿宋" w:hAnsi="仿宋" w:eastAsia="仿宋" w:cs="仿宋"/>
                <w:spacing w:val="0"/>
                <w:sz w:val="20"/>
                <w:szCs w:val="20"/>
                <w:lang w:val="en-US" w:eastAsia="zh-CN"/>
              </w:rPr>
            </w:pPr>
            <w:r>
              <w:rPr>
                <w:rFonts w:hint="eastAsia" w:ascii="仿宋" w:hAnsi="仿宋" w:eastAsia="仿宋" w:cs="仿宋"/>
                <w:spacing w:val="0"/>
                <w:sz w:val="20"/>
                <w:szCs w:val="20"/>
                <w:lang w:val="en-US" w:eastAsia="zh-CN"/>
              </w:rPr>
              <w:t>血清学检测合格献血者HBV/HCV/HIV核酸检测</w:t>
            </w:r>
          </w:p>
          <w:p w14:paraId="5B6146FD">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 w:hAnsi="仿宋" w:eastAsia="仿宋" w:cs="仿宋"/>
                <w:color w:val="000000"/>
                <w:sz w:val="20"/>
                <w:szCs w:val="20"/>
                <w:highlight w:val="none"/>
              </w:rPr>
            </w:pPr>
            <w:r>
              <w:rPr>
                <w:rFonts w:hint="eastAsia" w:ascii="仿宋" w:hAnsi="仿宋" w:eastAsia="仿宋" w:cs="仿宋"/>
                <w:spacing w:val="0"/>
                <w:sz w:val="20"/>
                <w:szCs w:val="20"/>
                <w:lang w:val="en-US" w:eastAsia="zh-CN"/>
              </w:rPr>
              <w:t>（人次）</w:t>
            </w:r>
          </w:p>
        </w:tc>
        <w:tc>
          <w:tcPr>
            <w:tcW w:w="1067" w:type="dxa"/>
            <w:tcBorders>
              <w:top w:val="nil"/>
              <w:left w:val="nil"/>
              <w:bottom w:val="single" w:color="auto" w:sz="4" w:space="0"/>
              <w:right w:val="single" w:color="auto" w:sz="4" w:space="0"/>
            </w:tcBorders>
            <w:noWrap w:val="0"/>
            <w:vAlign w:val="center"/>
          </w:tcPr>
          <w:p w14:paraId="14A88EB6">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 w:hAnsi="仿宋" w:eastAsia="仿宋" w:cs="仿宋"/>
                <w:color w:val="000000"/>
                <w:sz w:val="20"/>
                <w:szCs w:val="20"/>
                <w:highlight w:val="none"/>
                <w:lang w:val="en-US" w:eastAsia="zh-CN"/>
              </w:rPr>
            </w:pPr>
            <w:r>
              <w:rPr>
                <w:rFonts w:hint="eastAsia" w:ascii="仿宋" w:hAnsi="仿宋" w:eastAsia="仿宋" w:cs="仿宋"/>
                <w:color w:val="000000"/>
                <w:sz w:val="20"/>
                <w:szCs w:val="20"/>
                <w:highlight w:val="none"/>
              </w:rPr>
              <w:t>　</w:t>
            </w:r>
            <w:r>
              <w:rPr>
                <w:rFonts w:hint="eastAsia" w:ascii="仿宋" w:hAnsi="仿宋" w:eastAsia="仿宋" w:cs="仿宋"/>
                <w:color w:val="000000"/>
                <w:sz w:val="20"/>
                <w:szCs w:val="20"/>
                <w:highlight w:val="none"/>
                <w:lang w:val="en-US" w:eastAsia="zh-CN"/>
              </w:rPr>
              <w:t>60000人次</w:t>
            </w:r>
          </w:p>
        </w:tc>
        <w:tc>
          <w:tcPr>
            <w:tcW w:w="1108" w:type="dxa"/>
            <w:tcBorders>
              <w:top w:val="nil"/>
              <w:left w:val="nil"/>
              <w:bottom w:val="single" w:color="auto" w:sz="4" w:space="0"/>
              <w:right w:val="single" w:color="auto" w:sz="4" w:space="0"/>
            </w:tcBorders>
            <w:noWrap w:val="0"/>
            <w:vAlign w:val="center"/>
          </w:tcPr>
          <w:p w14:paraId="21F3212C">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 w:hAnsi="仿宋" w:eastAsia="仿宋" w:cs="仿宋"/>
                <w:color w:val="000000"/>
                <w:sz w:val="20"/>
                <w:szCs w:val="20"/>
                <w:highlight w:val="none"/>
                <w:lang w:val="en-US" w:eastAsia="zh-CN"/>
              </w:rPr>
            </w:pPr>
            <w:r>
              <w:rPr>
                <w:rFonts w:hint="eastAsia" w:ascii="仿宋" w:hAnsi="仿宋" w:eastAsia="仿宋" w:cs="仿宋"/>
                <w:color w:val="000000"/>
                <w:sz w:val="20"/>
                <w:szCs w:val="20"/>
                <w:highlight w:val="none"/>
              </w:rPr>
              <w:t>　</w:t>
            </w:r>
            <w:r>
              <w:rPr>
                <w:rFonts w:hint="eastAsia" w:ascii="仿宋" w:hAnsi="仿宋" w:eastAsia="仿宋" w:cs="仿宋"/>
                <w:color w:val="000000"/>
                <w:sz w:val="20"/>
                <w:szCs w:val="20"/>
                <w:highlight w:val="none"/>
                <w:lang w:val="en-US" w:eastAsia="zh-CN"/>
              </w:rPr>
              <w:t>57842人次</w:t>
            </w:r>
          </w:p>
        </w:tc>
        <w:tc>
          <w:tcPr>
            <w:tcW w:w="815" w:type="dxa"/>
            <w:tcBorders>
              <w:top w:val="nil"/>
              <w:left w:val="nil"/>
              <w:bottom w:val="single" w:color="auto" w:sz="4" w:space="0"/>
              <w:right w:val="single" w:color="auto" w:sz="4" w:space="0"/>
            </w:tcBorders>
            <w:noWrap w:val="0"/>
            <w:vAlign w:val="center"/>
          </w:tcPr>
          <w:p w14:paraId="5C8EECC6">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10</w:t>
            </w:r>
            <w:r>
              <w:rPr>
                <w:rFonts w:hint="eastAsia" w:ascii="仿宋_GB2312" w:hAnsi="仿宋_GB2312" w:eastAsia="仿宋_GB2312" w:cs="仿宋_GB2312"/>
                <w:color w:val="000000"/>
                <w:sz w:val="20"/>
                <w:szCs w:val="20"/>
                <w:highlight w:val="none"/>
              </w:rPr>
              <w:t>　</w:t>
            </w:r>
          </w:p>
        </w:tc>
        <w:tc>
          <w:tcPr>
            <w:tcW w:w="862" w:type="dxa"/>
            <w:tcBorders>
              <w:top w:val="nil"/>
              <w:left w:val="nil"/>
              <w:bottom w:val="single" w:color="auto" w:sz="4" w:space="0"/>
              <w:right w:val="single" w:color="auto" w:sz="4" w:space="0"/>
            </w:tcBorders>
            <w:noWrap w:val="0"/>
            <w:vAlign w:val="center"/>
          </w:tcPr>
          <w:p w14:paraId="011E4D41">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　</w:t>
            </w:r>
            <w:r>
              <w:rPr>
                <w:rFonts w:hint="eastAsia" w:ascii="仿宋_GB2312" w:hAnsi="仿宋_GB2312" w:eastAsia="仿宋_GB2312" w:cs="仿宋_GB2312"/>
                <w:color w:val="000000"/>
                <w:sz w:val="20"/>
                <w:szCs w:val="20"/>
                <w:highlight w:val="none"/>
                <w:lang w:val="en-US" w:eastAsia="zh-CN"/>
              </w:rPr>
              <w:t>9.5</w:t>
            </w:r>
          </w:p>
        </w:tc>
        <w:tc>
          <w:tcPr>
            <w:tcW w:w="1373" w:type="dxa"/>
            <w:tcBorders>
              <w:top w:val="nil"/>
              <w:left w:val="nil"/>
              <w:bottom w:val="single" w:color="auto" w:sz="4" w:space="0"/>
              <w:right w:val="single" w:color="auto" w:sz="4" w:space="0"/>
            </w:tcBorders>
            <w:noWrap w:val="0"/>
            <w:vAlign w:val="center"/>
          </w:tcPr>
          <w:p w14:paraId="67E21D00">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14:paraId="197D1FE7">
        <w:tblPrEx>
          <w:tblCellMar>
            <w:top w:w="0" w:type="dxa"/>
            <w:left w:w="108" w:type="dxa"/>
            <w:bottom w:w="0" w:type="dxa"/>
            <w:right w:w="108" w:type="dxa"/>
          </w:tblCellMar>
        </w:tblPrEx>
        <w:trPr>
          <w:jc w:val="center"/>
        </w:trPr>
        <w:tc>
          <w:tcPr>
            <w:tcW w:w="1059" w:type="dxa"/>
            <w:vMerge w:val="continue"/>
            <w:tcBorders>
              <w:left w:val="single" w:color="auto" w:sz="4" w:space="0"/>
              <w:right w:val="single" w:color="auto" w:sz="4" w:space="0"/>
            </w:tcBorders>
            <w:noWrap w:val="0"/>
            <w:vAlign w:val="center"/>
          </w:tcPr>
          <w:p w14:paraId="6D3B7FE7">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60" w:type="dxa"/>
            <w:vMerge w:val="continue"/>
            <w:tcBorders>
              <w:left w:val="nil"/>
              <w:right w:val="single" w:color="auto" w:sz="4" w:space="0"/>
            </w:tcBorders>
            <w:noWrap w:val="0"/>
            <w:vAlign w:val="center"/>
          </w:tcPr>
          <w:p w14:paraId="4ABD2FA6">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50" w:type="dxa"/>
            <w:vMerge w:val="continue"/>
            <w:tcBorders>
              <w:left w:val="nil"/>
              <w:right w:val="single" w:color="auto" w:sz="4" w:space="0"/>
            </w:tcBorders>
            <w:noWrap w:val="0"/>
            <w:vAlign w:val="center"/>
          </w:tcPr>
          <w:p w14:paraId="77567C47">
            <w:pPr>
              <w:keepNext w:val="0"/>
              <w:keepLines w:val="0"/>
              <w:pageBreakBefore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c>
          <w:tcPr>
            <w:tcW w:w="1457" w:type="dxa"/>
            <w:tcBorders>
              <w:top w:val="nil"/>
              <w:left w:val="nil"/>
              <w:bottom w:val="single" w:color="auto" w:sz="4" w:space="0"/>
              <w:right w:val="single" w:color="auto" w:sz="4" w:space="0"/>
            </w:tcBorders>
            <w:noWrap w:val="0"/>
            <w:vAlign w:val="center"/>
          </w:tcPr>
          <w:p w14:paraId="53D187EC">
            <w:pPr>
              <w:spacing w:line="240" w:lineRule="exact"/>
              <w:jc w:val="center"/>
              <w:rPr>
                <w:rFonts w:hint="eastAsia" w:ascii="仿宋" w:hAnsi="仿宋" w:eastAsia="仿宋" w:cs="仿宋"/>
                <w:spacing w:val="0"/>
                <w:sz w:val="20"/>
                <w:szCs w:val="20"/>
                <w:lang w:val="en-US" w:eastAsia="zh-CN"/>
              </w:rPr>
            </w:pPr>
            <w:r>
              <w:rPr>
                <w:rFonts w:hint="eastAsia" w:ascii="仿宋" w:hAnsi="仿宋" w:eastAsia="仿宋" w:cs="仿宋"/>
                <w:spacing w:val="0"/>
                <w:sz w:val="20"/>
                <w:szCs w:val="20"/>
                <w:lang w:val="en-US" w:eastAsia="zh-CN"/>
              </w:rPr>
              <w:t>献血者人类嗜T淋巴细胞病毒（HTLV）抗体检测</w:t>
            </w:r>
          </w:p>
          <w:p w14:paraId="616BFBD6">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 w:hAnsi="仿宋" w:eastAsia="仿宋" w:cs="仿宋"/>
                <w:color w:val="000000"/>
                <w:sz w:val="20"/>
                <w:szCs w:val="20"/>
                <w:highlight w:val="none"/>
              </w:rPr>
            </w:pPr>
            <w:r>
              <w:rPr>
                <w:rFonts w:hint="eastAsia" w:ascii="仿宋" w:hAnsi="仿宋" w:eastAsia="仿宋" w:cs="仿宋"/>
                <w:spacing w:val="0"/>
                <w:sz w:val="20"/>
                <w:szCs w:val="20"/>
                <w:lang w:val="en-US" w:eastAsia="zh-CN"/>
              </w:rPr>
              <w:t>（人次）</w:t>
            </w:r>
          </w:p>
        </w:tc>
        <w:tc>
          <w:tcPr>
            <w:tcW w:w="1067" w:type="dxa"/>
            <w:tcBorders>
              <w:top w:val="nil"/>
              <w:left w:val="nil"/>
              <w:bottom w:val="single" w:color="auto" w:sz="4" w:space="0"/>
              <w:right w:val="single" w:color="auto" w:sz="4" w:space="0"/>
            </w:tcBorders>
            <w:noWrap w:val="0"/>
            <w:vAlign w:val="center"/>
          </w:tcPr>
          <w:p w14:paraId="5DCB10DC">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 w:hAnsi="仿宋" w:eastAsia="仿宋" w:cs="仿宋"/>
                <w:color w:val="000000"/>
                <w:sz w:val="20"/>
                <w:szCs w:val="20"/>
                <w:highlight w:val="none"/>
              </w:rPr>
            </w:pPr>
            <w:r>
              <w:rPr>
                <w:rFonts w:hint="eastAsia" w:ascii="仿宋" w:hAnsi="仿宋" w:eastAsia="仿宋" w:cs="仿宋"/>
                <w:color w:val="000000"/>
                <w:sz w:val="20"/>
                <w:szCs w:val="20"/>
                <w:highlight w:val="none"/>
                <w:lang w:val="en-US" w:eastAsia="zh-CN"/>
              </w:rPr>
              <w:t>60000人次</w:t>
            </w:r>
            <w:r>
              <w:rPr>
                <w:rFonts w:hint="eastAsia" w:ascii="仿宋" w:hAnsi="仿宋" w:eastAsia="仿宋" w:cs="仿宋"/>
                <w:color w:val="000000"/>
                <w:sz w:val="20"/>
                <w:szCs w:val="20"/>
                <w:highlight w:val="none"/>
              </w:rPr>
              <w:t>　</w:t>
            </w:r>
          </w:p>
        </w:tc>
        <w:tc>
          <w:tcPr>
            <w:tcW w:w="1108" w:type="dxa"/>
            <w:tcBorders>
              <w:top w:val="nil"/>
              <w:left w:val="nil"/>
              <w:bottom w:val="single" w:color="auto" w:sz="4" w:space="0"/>
              <w:right w:val="single" w:color="auto" w:sz="4" w:space="0"/>
            </w:tcBorders>
            <w:noWrap w:val="0"/>
            <w:vAlign w:val="center"/>
          </w:tcPr>
          <w:p w14:paraId="6D2A97AE">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 w:hAnsi="仿宋" w:eastAsia="仿宋" w:cs="仿宋"/>
                <w:color w:val="000000"/>
                <w:sz w:val="20"/>
                <w:szCs w:val="20"/>
                <w:highlight w:val="none"/>
                <w:lang w:val="en-US" w:eastAsia="zh-CN"/>
              </w:rPr>
            </w:pPr>
            <w:r>
              <w:rPr>
                <w:rFonts w:hint="eastAsia" w:ascii="仿宋" w:hAnsi="仿宋" w:eastAsia="仿宋" w:cs="仿宋"/>
                <w:color w:val="000000"/>
                <w:sz w:val="20"/>
                <w:szCs w:val="20"/>
                <w:highlight w:val="none"/>
                <w:lang w:val="en-US" w:eastAsia="zh-CN"/>
              </w:rPr>
              <w:t>57842人次</w:t>
            </w:r>
          </w:p>
        </w:tc>
        <w:tc>
          <w:tcPr>
            <w:tcW w:w="815" w:type="dxa"/>
            <w:tcBorders>
              <w:top w:val="nil"/>
              <w:left w:val="nil"/>
              <w:bottom w:val="single" w:color="auto" w:sz="4" w:space="0"/>
              <w:right w:val="single" w:color="auto" w:sz="4" w:space="0"/>
            </w:tcBorders>
            <w:noWrap w:val="0"/>
            <w:vAlign w:val="center"/>
          </w:tcPr>
          <w:p w14:paraId="4DC36644">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10</w:t>
            </w:r>
            <w:r>
              <w:rPr>
                <w:rFonts w:hint="eastAsia" w:ascii="仿宋_GB2312" w:hAnsi="仿宋_GB2312" w:eastAsia="仿宋_GB2312" w:cs="仿宋_GB2312"/>
                <w:color w:val="000000"/>
                <w:sz w:val="20"/>
                <w:szCs w:val="20"/>
                <w:highlight w:val="none"/>
              </w:rPr>
              <w:t>　</w:t>
            </w:r>
          </w:p>
        </w:tc>
        <w:tc>
          <w:tcPr>
            <w:tcW w:w="862" w:type="dxa"/>
            <w:tcBorders>
              <w:top w:val="nil"/>
              <w:left w:val="nil"/>
              <w:bottom w:val="single" w:color="auto" w:sz="4" w:space="0"/>
              <w:right w:val="single" w:color="auto" w:sz="4" w:space="0"/>
            </w:tcBorders>
            <w:noWrap w:val="0"/>
            <w:vAlign w:val="center"/>
          </w:tcPr>
          <w:p w14:paraId="185F3AB2">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　</w:t>
            </w:r>
            <w:r>
              <w:rPr>
                <w:rFonts w:hint="eastAsia" w:ascii="仿宋_GB2312" w:hAnsi="仿宋_GB2312" w:eastAsia="仿宋_GB2312" w:cs="仿宋_GB2312"/>
                <w:color w:val="000000"/>
                <w:sz w:val="20"/>
                <w:szCs w:val="20"/>
                <w:highlight w:val="none"/>
                <w:lang w:val="en-US" w:eastAsia="zh-CN"/>
              </w:rPr>
              <w:t>9.5</w:t>
            </w:r>
          </w:p>
        </w:tc>
        <w:tc>
          <w:tcPr>
            <w:tcW w:w="1373" w:type="dxa"/>
            <w:tcBorders>
              <w:top w:val="nil"/>
              <w:left w:val="nil"/>
              <w:bottom w:val="single" w:color="auto" w:sz="4" w:space="0"/>
              <w:right w:val="single" w:color="auto" w:sz="4" w:space="0"/>
            </w:tcBorders>
            <w:noWrap w:val="0"/>
            <w:vAlign w:val="center"/>
          </w:tcPr>
          <w:p w14:paraId="780CF283">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14:paraId="419C7292">
        <w:tblPrEx>
          <w:tblCellMar>
            <w:top w:w="0" w:type="dxa"/>
            <w:left w:w="108" w:type="dxa"/>
            <w:bottom w:w="0" w:type="dxa"/>
            <w:right w:w="108" w:type="dxa"/>
          </w:tblCellMar>
        </w:tblPrEx>
        <w:trPr>
          <w:jc w:val="center"/>
        </w:trPr>
        <w:tc>
          <w:tcPr>
            <w:tcW w:w="1059" w:type="dxa"/>
            <w:vMerge w:val="continue"/>
            <w:tcBorders>
              <w:left w:val="single" w:color="auto" w:sz="4" w:space="0"/>
              <w:right w:val="single" w:color="auto" w:sz="4" w:space="0"/>
            </w:tcBorders>
            <w:noWrap w:val="0"/>
            <w:vAlign w:val="center"/>
          </w:tcPr>
          <w:p w14:paraId="3EC7824A">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60" w:type="dxa"/>
            <w:vMerge w:val="continue"/>
            <w:tcBorders>
              <w:left w:val="nil"/>
              <w:right w:val="single" w:color="auto" w:sz="4" w:space="0"/>
            </w:tcBorders>
            <w:noWrap w:val="0"/>
            <w:vAlign w:val="center"/>
          </w:tcPr>
          <w:p w14:paraId="7CDD9204">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50" w:type="dxa"/>
            <w:vMerge w:val="continue"/>
            <w:tcBorders>
              <w:left w:val="nil"/>
              <w:bottom w:val="single" w:color="auto" w:sz="4" w:space="0"/>
              <w:right w:val="single" w:color="auto" w:sz="4" w:space="0"/>
            </w:tcBorders>
            <w:noWrap w:val="0"/>
            <w:vAlign w:val="center"/>
          </w:tcPr>
          <w:p w14:paraId="76889ADC">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c>
          <w:tcPr>
            <w:tcW w:w="1457" w:type="dxa"/>
            <w:tcBorders>
              <w:top w:val="nil"/>
              <w:left w:val="nil"/>
              <w:bottom w:val="single" w:color="auto" w:sz="4" w:space="0"/>
              <w:right w:val="single" w:color="auto" w:sz="4" w:space="0"/>
            </w:tcBorders>
            <w:noWrap w:val="0"/>
            <w:vAlign w:val="center"/>
          </w:tcPr>
          <w:p w14:paraId="49BCC111">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w:t>
            </w:r>
          </w:p>
        </w:tc>
        <w:tc>
          <w:tcPr>
            <w:tcW w:w="1067" w:type="dxa"/>
            <w:tcBorders>
              <w:top w:val="nil"/>
              <w:left w:val="nil"/>
              <w:bottom w:val="single" w:color="auto" w:sz="4" w:space="0"/>
              <w:right w:val="single" w:color="auto" w:sz="4" w:space="0"/>
            </w:tcBorders>
            <w:noWrap w:val="0"/>
            <w:vAlign w:val="center"/>
          </w:tcPr>
          <w:p w14:paraId="34D02B70">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108" w:type="dxa"/>
            <w:tcBorders>
              <w:top w:val="nil"/>
              <w:left w:val="nil"/>
              <w:bottom w:val="single" w:color="auto" w:sz="4" w:space="0"/>
              <w:right w:val="single" w:color="auto" w:sz="4" w:space="0"/>
            </w:tcBorders>
            <w:noWrap w:val="0"/>
            <w:vAlign w:val="center"/>
          </w:tcPr>
          <w:p w14:paraId="34FFADEE">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815" w:type="dxa"/>
            <w:tcBorders>
              <w:top w:val="nil"/>
              <w:left w:val="nil"/>
              <w:bottom w:val="single" w:color="auto" w:sz="4" w:space="0"/>
              <w:right w:val="single" w:color="auto" w:sz="4" w:space="0"/>
            </w:tcBorders>
            <w:noWrap w:val="0"/>
            <w:vAlign w:val="center"/>
          </w:tcPr>
          <w:p w14:paraId="1824DBF1">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862" w:type="dxa"/>
            <w:tcBorders>
              <w:top w:val="nil"/>
              <w:left w:val="nil"/>
              <w:bottom w:val="single" w:color="auto" w:sz="4" w:space="0"/>
              <w:right w:val="single" w:color="auto" w:sz="4" w:space="0"/>
            </w:tcBorders>
            <w:noWrap w:val="0"/>
            <w:vAlign w:val="center"/>
          </w:tcPr>
          <w:p w14:paraId="33463510">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373" w:type="dxa"/>
            <w:tcBorders>
              <w:top w:val="nil"/>
              <w:left w:val="nil"/>
              <w:bottom w:val="single" w:color="auto" w:sz="4" w:space="0"/>
              <w:right w:val="single" w:color="auto" w:sz="4" w:space="0"/>
            </w:tcBorders>
            <w:noWrap w:val="0"/>
            <w:vAlign w:val="center"/>
          </w:tcPr>
          <w:p w14:paraId="6FC97245">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14:paraId="3763B2FA">
        <w:tblPrEx>
          <w:tblCellMar>
            <w:top w:w="0" w:type="dxa"/>
            <w:left w:w="108" w:type="dxa"/>
            <w:bottom w:w="0" w:type="dxa"/>
            <w:right w:w="108" w:type="dxa"/>
          </w:tblCellMar>
        </w:tblPrEx>
        <w:trPr>
          <w:jc w:val="center"/>
        </w:trPr>
        <w:tc>
          <w:tcPr>
            <w:tcW w:w="1059" w:type="dxa"/>
            <w:vMerge w:val="continue"/>
            <w:tcBorders>
              <w:left w:val="single" w:color="auto" w:sz="4" w:space="0"/>
              <w:right w:val="single" w:color="auto" w:sz="4" w:space="0"/>
            </w:tcBorders>
            <w:noWrap w:val="0"/>
            <w:vAlign w:val="center"/>
          </w:tcPr>
          <w:p w14:paraId="781C0069">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60" w:type="dxa"/>
            <w:vMerge w:val="continue"/>
            <w:tcBorders>
              <w:left w:val="nil"/>
              <w:right w:val="single" w:color="auto" w:sz="4" w:space="0"/>
            </w:tcBorders>
            <w:noWrap w:val="0"/>
            <w:vAlign w:val="center"/>
          </w:tcPr>
          <w:p w14:paraId="0B7E9633">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50" w:type="dxa"/>
            <w:vMerge w:val="restart"/>
            <w:tcBorders>
              <w:top w:val="nil"/>
              <w:left w:val="nil"/>
              <w:right w:val="single" w:color="auto" w:sz="4" w:space="0"/>
            </w:tcBorders>
            <w:noWrap w:val="0"/>
            <w:vAlign w:val="center"/>
          </w:tcPr>
          <w:p w14:paraId="13056082">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质量指标</w:t>
            </w:r>
          </w:p>
        </w:tc>
        <w:tc>
          <w:tcPr>
            <w:tcW w:w="1457" w:type="dxa"/>
            <w:tcBorders>
              <w:top w:val="nil"/>
              <w:left w:val="nil"/>
              <w:bottom w:val="single" w:color="auto" w:sz="4" w:space="0"/>
              <w:right w:val="single" w:color="auto" w:sz="4" w:space="0"/>
            </w:tcBorders>
            <w:noWrap w:val="0"/>
            <w:vAlign w:val="center"/>
          </w:tcPr>
          <w:p w14:paraId="46E01E6B">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血液安全及质量管理</w:t>
            </w:r>
          </w:p>
        </w:tc>
        <w:tc>
          <w:tcPr>
            <w:tcW w:w="1067" w:type="dxa"/>
            <w:tcBorders>
              <w:top w:val="nil"/>
              <w:left w:val="nil"/>
              <w:bottom w:val="single" w:color="auto" w:sz="4" w:space="0"/>
              <w:right w:val="single" w:color="auto" w:sz="4" w:space="0"/>
            </w:tcBorders>
            <w:noWrap w:val="0"/>
            <w:vAlign w:val="center"/>
          </w:tcPr>
          <w:p w14:paraId="3D710EB5">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实验室室间质评评价，通过率达100%</w:t>
            </w:r>
          </w:p>
        </w:tc>
        <w:tc>
          <w:tcPr>
            <w:tcW w:w="1108" w:type="dxa"/>
            <w:tcBorders>
              <w:top w:val="nil"/>
              <w:left w:val="nil"/>
              <w:bottom w:val="single" w:color="auto" w:sz="4" w:space="0"/>
              <w:right w:val="single" w:color="auto" w:sz="4" w:space="0"/>
            </w:tcBorders>
            <w:noWrap w:val="0"/>
            <w:vAlign w:val="center"/>
          </w:tcPr>
          <w:p w14:paraId="7A661BEC">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　</w:t>
            </w:r>
            <w:r>
              <w:rPr>
                <w:rFonts w:hint="eastAsia" w:ascii="仿宋_GB2312" w:hAnsi="仿宋_GB2312" w:eastAsia="仿宋_GB2312" w:cs="仿宋_GB2312"/>
                <w:color w:val="000000"/>
                <w:sz w:val="20"/>
                <w:szCs w:val="20"/>
                <w:highlight w:val="none"/>
                <w:lang w:val="en-US" w:eastAsia="zh-CN"/>
              </w:rPr>
              <w:t>100%</w:t>
            </w:r>
          </w:p>
        </w:tc>
        <w:tc>
          <w:tcPr>
            <w:tcW w:w="815" w:type="dxa"/>
            <w:tcBorders>
              <w:top w:val="nil"/>
              <w:left w:val="nil"/>
              <w:bottom w:val="single" w:color="auto" w:sz="4" w:space="0"/>
              <w:right w:val="single" w:color="auto" w:sz="4" w:space="0"/>
            </w:tcBorders>
            <w:noWrap w:val="0"/>
            <w:vAlign w:val="center"/>
          </w:tcPr>
          <w:p w14:paraId="1C42FDD0">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　</w:t>
            </w:r>
            <w:r>
              <w:rPr>
                <w:rFonts w:hint="eastAsia" w:ascii="仿宋_GB2312" w:hAnsi="仿宋_GB2312" w:eastAsia="仿宋_GB2312" w:cs="仿宋_GB2312"/>
                <w:color w:val="000000"/>
                <w:sz w:val="20"/>
                <w:szCs w:val="20"/>
                <w:highlight w:val="none"/>
                <w:lang w:val="en-US" w:eastAsia="zh-CN"/>
              </w:rPr>
              <w:t>10</w:t>
            </w:r>
          </w:p>
        </w:tc>
        <w:tc>
          <w:tcPr>
            <w:tcW w:w="862" w:type="dxa"/>
            <w:tcBorders>
              <w:top w:val="nil"/>
              <w:left w:val="nil"/>
              <w:bottom w:val="single" w:color="auto" w:sz="4" w:space="0"/>
              <w:right w:val="single" w:color="auto" w:sz="4" w:space="0"/>
            </w:tcBorders>
            <w:noWrap w:val="0"/>
            <w:vAlign w:val="center"/>
          </w:tcPr>
          <w:p w14:paraId="304729B1">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　</w:t>
            </w:r>
            <w:r>
              <w:rPr>
                <w:rFonts w:hint="eastAsia" w:ascii="仿宋_GB2312" w:hAnsi="仿宋_GB2312" w:eastAsia="仿宋_GB2312" w:cs="仿宋_GB2312"/>
                <w:color w:val="000000"/>
                <w:sz w:val="20"/>
                <w:szCs w:val="20"/>
                <w:highlight w:val="none"/>
                <w:lang w:val="en-US" w:eastAsia="zh-CN"/>
              </w:rPr>
              <w:t>10</w:t>
            </w:r>
          </w:p>
        </w:tc>
        <w:tc>
          <w:tcPr>
            <w:tcW w:w="1373" w:type="dxa"/>
            <w:tcBorders>
              <w:top w:val="nil"/>
              <w:left w:val="nil"/>
              <w:bottom w:val="single" w:color="auto" w:sz="4" w:space="0"/>
              <w:right w:val="single" w:color="auto" w:sz="4" w:space="0"/>
            </w:tcBorders>
            <w:noWrap w:val="0"/>
            <w:vAlign w:val="center"/>
          </w:tcPr>
          <w:p w14:paraId="6075768B">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14:paraId="09BBED07">
        <w:tblPrEx>
          <w:tblCellMar>
            <w:top w:w="0" w:type="dxa"/>
            <w:left w:w="108" w:type="dxa"/>
            <w:bottom w:w="0" w:type="dxa"/>
            <w:right w:w="108" w:type="dxa"/>
          </w:tblCellMar>
        </w:tblPrEx>
        <w:trPr>
          <w:jc w:val="center"/>
        </w:trPr>
        <w:tc>
          <w:tcPr>
            <w:tcW w:w="1059" w:type="dxa"/>
            <w:vMerge w:val="continue"/>
            <w:tcBorders>
              <w:left w:val="single" w:color="auto" w:sz="4" w:space="0"/>
              <w:right w:val="single" w:color="auto" w:sz="4" w:space="0"/>
            </w:tcBorders>
            <w:noWrap w:val="0"/>
            <w:vAlign w:val="center"/>
          </w:tcPr>
          <w:p w14:paraId="277CFF6F">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60" w:type="dxa"/>
            <w:vMerge w:val="continue"/>
            <w:tcBorders>
              <w:left w:val="nil"/>
              <w:right w:val="single" w:color="auto" w:sz="4" w:space="0"/>
            </w:tcBorders>
            <w:noWrap w:val="0"/>
            <w:vAlign w:val="center"/>
          </w:tcPr>
          <w:p w14:paraId="6F9C6DFE">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50" w:type="dxa"/>
            <w:vMerge w:val="continue"/>
            <w:tcBorders>
              <w:left w:val="nil"/>
              <w:right w:val="single" w:color="auto" w:sz="4" w:space="0"/>
            </w:tcBorders>
            <w:noWrap w:val="0"/>
            <w:vAlign w:val="center"/>
          </w:tcPr>
          <w:p w14:paraId="5F28EFE1">
            <w:pPr>
              <w:keepNext w:val="0"/>
              <w:keepLines w:val="0"/>
              <w:pageBreakBefore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c>
          <w:tcPr>
            <w:tcW w:w="1457" w:type="dxa"/>
            <w:tcBorders>
              <w:top w:val="nil"/>
              <w:left w:val="nil"/>
              <w:bottom w:val="single" w:color="auto" w:sz="4" w:space="0"/>
              <w:right w:val="single" w:color="auto" w:sz="4" w:space="0"/>
            </w:tcBorders>
            <w:noWrap w:val="0"/>
            <w:vAlign w:val="center"/>
          </w:tcPr>
          <w:p w14:paraId="69ACA37B">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 w:hAnsi="仿宋" w:eastAsia="仿宋" w:cs="仿宋"/>
                <w:color w:val="000000"/>
                <w:sz w:val="20"/>
                <w:szCs w:val="20"/>
                <w:highlight w:val="none"/>
              </w:rPr>
            </w:pPr>
            <w:r>
              <w:rPr>
                <w:rFonts w:hint="eastAsia" w:ascii="仿宋" w:hAnsi="仿宋" w:eastAsia="仿宋" w:cs="仿宋"/>
                <w:spacing w:val="0"/>
                <w:sz w:val="20"/>
                <w:szCs w:val="20"/>
                <w:lang w:val="en-US" w:eastAsia="zh-CN"/>
              </w:rPr>
              <w:t>献血者人类嗜T淋巴细胞（HTLV）抗体检测</w:t>
            </w:r>
          </w:p>
        </w:tc>
        <w:tc>
          <w:tcPr>
            <w:tcW w:w="1067" w:type="dxa"/>
            <w:tcBorders>
              <w:top w:val="nil"/>
              <w:left w:val="nil"/>
              <w:bottom w:val="single" w:color="auto" w:sz="4" w:space="0"/>
              <w:right w:val="single" w:color="auto" w:sz="4" w:space="0"/>
            </w:tcBorders>
            <w:noWrap w:val="0"/>
            <w:vAlign w:val="center"/>
          </w:tcPr>
          <w:p w14:paraId="3D6DB453">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 w:hAnsi="仿宋" w:eastAsia="仿宋" w:cs="仿宋"/>
                <w:color w:val="000000"/>
                <w:sz w:val="20"/>
                <w:szCs w:val="20"/>
                <w:highlight w:val="none"/>
                <w:lang w:val="en-US" w:eastAsia="zh-CN"/>
              </w:rPr>
            </w:pPr>
            <w:r>
              <w:rPr>
                <w:rFonts w:hint="eastAsia" w:ascii="仿宋" w:hAnsi="仿宋" w:eastAsia="仿宋" w:cs="仿宋"/>
                <w:color w:val="000000"/>
                <w:sz w:val="20"/>
                <w:szCs w:val="20"/>
                <w:highlight w:val="none"/>
              </w:rPr>
              <w:t>　</w:t>
            </w:r>
            <w:r>
              <w:rPr>
                <w:rFonts w:hint="eastAsia" w:ascii="仿宋" w:hAnsi="仿宋" w:eastAsia="仿宋" w:cs="仿宋"/>
                <w:color w:val="000000"/>
                <w:sz w:val="20"/>
                <w:szCs w:val="20"/>
                <w:highlight w:val="none"/>
                <w:lang w:val="en-US" w:eastAsia="zh-CN"/>
              </w:rPr>
              <w:t>检测率100%</w:t>
            </w:r>
          </w:p>
        </w:tc>
        <w:tc>
          <w:tcPr>
            <w:tcW w:w="1108" w:type="dxa"/>
            <w:tcBorders>
              <w:top w:val="nil"/>
              <w:left w:val="nil"/>
              <w:bottom w:val="single" w:color="auto" w:sz="4" w:space="0"/>
              <w:right w:val="single" w:color="auto" w:sz="4" w:space="0"/>
            </w:tcBorders>
            <w:noWrap w:val="0"/>
            <w:vAlign w:val="center"/>
          </w:tcPr>
          <w:p w14:paraId="5D206B9F">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 w:hAnsi="仿宋" w:eastAsia="仿宋" w:cs="仿宋"/>
                <w:color w:val="000000"/>
                <w:sz w:val="20"/>
                <w:szCs w:val="20"/>
                <w:highlight w:val="none"/>
                <w:lang w:val="en-US" w:eastAsia="zh-CN"/>
              </w:rPr>
            </w:pPr>
            <w:r>
              <w:rPr>
                <w:rFonts w:hint="eastAsia" w:ascii="仿宋" w:hAnsi="仿宋" w:eastAsia="仿宋" w:cs="仿宋"/>
                <w:color w:val="000000"/>
                <w:sz w:val="20"/>
                <w:szCs w:val="20"/>
                <w:highlight w:val="none"/>
              </w:rPr>
              <w:t>　</w:t>
            </w:r>
            <w:r>
              <w:rPr>
                <w:rFonts w:hint="eastAsia" w:ascii="仿宋" w:hAnsi="仿宋" w:eastAsia="仿宋" w:cs="仿宋"/>
                <w:color w:val="000000"/>
                <w:sz w:val="20"/>
                <w:szCs w:val="20"/>
                <w:highlight w:val="none"/>
                <w:lang w:val="en-US" w:eastAsia="zh-CN"/>
              </w:rPr>
              <w:t>100%</w:t>
            </w:r>
          </w:p>
        </w:tc>
        <w:tc>
          <w:tcPr>
            <w:tcW w:w="815" w:type="dxa"/>
            <w:tcBorders>
              <w:top w:val="nil"/>
              <w:left w:val="nil"/>
              <w:bottom w:val="single" w:color="auto" w:sz="4" w:space="0"/>
              <w:right w:val="single" w:color="auto" w:sz="4" w:space="0"/>
            </w:tcBorders>
            <w:noWrap w:val="0"/>
            <w:vAlign w:val="center"/>
          </w:tcPr>
          <w:p w14:paraId="5AE93CB6">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　</w:t>
            </w:r>
            <w:r>
              <w:rPr>
                <w:rFonts w:hint="eastAsia" w:ascii="仿宋_GB2312" w:hAnsi="仿宋_GB2312" w:eastAsia="仿宋_GB2312" w:cs="仿宋_GB2312"/>
                <w:color w:val="000000"/>
                <w:sz w:val="20"/>
                <w:szCs w:val="20"/>
                <w:highlight w:val="none"/>
                <w:lang w:val="en-US" w:eastAsia="zh-CN"/>
              </w:rPr>
              <w:t>10</w:t>
            </w:r>
          </w:p>
        </w:tc>
        <w:tc>
          <w:tcPr>
            <w:tcW w:w="862" w:type="dxa"/>
            <w:tcBorders>
              <w:top w:val="nil"/>
              <w:left w:val="nil"/>
              <w:bottom w:val="single" w:color="auto" w:sz="4" w:space="0"/>
              <w:right w:val="single" w:color="auto" w:sz="4" w:space="0"/>
            </w:tcBorders>
            <w:noWrap w:val="0"/>
            <w:vAlign w:val="center"/>
          </w:tcPr>
          <w:p w14:paraId="233CF14A">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　</w:t>
            </w:r>
            <w:r>
              <w:rPr>
                <w:rFonts w:hint="eastAsia" w:ascii="仿宋_GB2312" w:hAnsi="仿宋_GB2312" w:eastAsia="仿宋_GB2312" w:cs="仿宋_GB2312"/>
                <w:color w:val="000000"/>
                <w:sz w:val="20"/>
                <w:szCs w:val="20"/>
                <w:highlight w:val="none"/>
                <w:lang w:val="en-US" w:eastAsia="zh-CN"/>
              </w:rPr>
              <w:t>10</w:t>
            </w:r>
          </w:p>
        </w:tc>
        <w:tc>
          <w:tcPr>
            <w:tcW w:w="1373" w:type="dxa"/>
            <w:tcBorders>
              <w:top w:val="nil"/>
              <w:left w:val="nil"/>
              <w:bottom w:val="single" w:color="auto" w:sz="4" w:space="0"/>
              <w:right w:val="single" w:color="auto" w:sz="4" w:space="0"/>
            </w:tcBorders>
            <w:noWrap w:val="0"/>
            <w:vAlign w:val="center"/>
          </w:tcPr>
          <w:p w14:paraId="2572F556">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14:paraId="01625A95">
        <w:tblPrEx>
          <w:tblCellMar>
            <w:top w:w="0" w:type="dxa"/>
            <w:left w:w="108" w:type="dxa"/>
            <w:bottom w:w="0" w:type="dxa"/>
            <w:right w:w="108" w:type="dxa"/>
          </w:tblCellMar>
        </w:tblPrEx>
        <w:trPr>
          <w:jc w:val="center"/>
        </w:trPr>
        <w:tc>
          <w:tcPr>
            <w:tcW w:w="1059" w:type="dxa"/>
            <w:vMerge w:val="continue"/>
            <w:tcBorders>
              <w:left w:val="single" w:color="auto" w:sz="4" w:space="0"/>
              <w:right w:val="single" w:color="auto" w:sz="4" w:space="0"/>
            </w:tcBorders>
            <w:noWrap w:val="0"/>
            <w:vAlign w:val="center"/>
          </w:tcPr>
          <w:p w14:paraId="1602C621">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60" w:type="dxa"/>
            <w:vMerge w:val="continue"/>
            <w:tcBorders>
              <w:left w:val="nil"/>
              <w:right w:val="single" w:color="auto" w:sz="4" w:space="0"/>
            </w:tcBorders>
            <w:noWrap w:val="0"/>
            <w:vAlign w:val="center"/>
          </w:tcPr>
          <w:p w14:paraId="6913D369">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50" w:type="dxa"/>
            <w:vMerge w:val="continue"/>
            <w:tcBorders>
              <w:left w:val="nil"/>
              <w:bottom w:val="single" w:color="auto" w:sz="4" w:space="0"/>
              <w:right w:val="single" w:color="auto" w:sz="4" w:space="0"/>
            </w:tcBorders>
            <w:noWrap w:val="0"/>
            <w:vAlign w:val="center"/>
          </w:tcPr>
          <w:p w14:paraId="5827985C">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c>
          <w:tcPr>
            <w:tcW w:w="1457" w:type="dxa"/>
            <w:tcBorders>
              <w:top w:val="nil"/>
              <w:left w:val="nil"/>
              <w:bottom w:val="single" w:color="auto" w:sz="4" w:space="0"/>
              <w:right w:val="single" w:color="auto" w:sz="4" w:space="0"/>
            </w:tcBorders>
            <w:noWrap w:val="0"/>
            <w:vAlign w:val="center"/>
          </w:tcPr>
          <w:p w14:paraId="55C27406">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w:t>
            </w:r>
          </w:p>
        </w:tc>
        <w:tc>
          <w:tcPr>
            <w:tcW w:w="1067" w:type="dxa"/>
            <w:tcBorders>
              <w:top w:val="nil"/>
              <w:left w:val="nil"/>
              <w:bottom w:val="single" w:color="auto" w:sz="4" w:space="0"/>
              <w:right w:val="single" w:color="auto" w:sz="4" w:space="0"/>
            </w:tcBorders>
            <w:noWrap w:val="0"/>
            <w:vAlign w:val="center"/>
          </w:tcPr>
          <w:p w14:paraId="75327D2B">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108" w:type="dxa"/>
            <w:tcBorders>
              <w:top w:val="nil"/>
              <w:left w:val="nil"/>
              <w:bottom w:val="single" w:color="auto" w:sz="4" w:space="0"/>
              <w:right w:val="single" w:color="auto" w:sz="4" w:space="0"/>
            </w:tcBorders>
            <w:noWrap w:val="0"/>
            <w:vAlign w:val="center"/>
          </w:tcPr>
          <w:p w14:paraId="4E43B1C0">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815" w:type="dxa"/>
            <w:tcBorders>
              <w:top w:val="nil"/>
              <w:left w:val="nil"/>
              <w:bottom w:val="single" w:color="auto" w:sz="4" w:space="0"/>
              <w:right w:val="single" w:color="auto" w:sz="4" w:space="0"/>
            </w:tcBorders>
            <w:noWrap w:val="0"/>
            <w:vAlign w:val="center"/>
          </w:tcPr>
          <w:p w14:paraId="72EFFC83">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862" w:type="dxa"/>
            <w:tcBorders>
              <w:top w:val="nil"/>
              <w:left w:val="nil"/>
              <w:bottom w:val="single" w:color="auto" w:sz="4" w:space="0"/>
              <w:right w:val="single" w:color="auto" w:sz="4" w:space="0"/>
            </w:tcBorders>
            <w:noWrap w:val="0"/>
            <w:vAlign w:val="center"/>
          </w:tcPr>
          <w:p w14:paraId="3E2CD63C">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373" w:type="dxa"/>
            <w:tcBorders>
              <w:top w:val="nil"/>
              <w:left w:val="nil"/>
              <w:bottom w:val="single" w:color="auto" w:sz="4" w:space="0"/>
              <w:right w:val="single" w:color="auto" w:sz="4" w:space="0"/>
            </w:tcBorders>
            <w:noWrap w:val="0"/>
            <w:vAlign w:val="center"/>
          </w:tcPr>
          <w:p w14:paraId="2CC96FEE">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14:paraId="49E28ADB">
        <w:tblPrEx>
          <w:tblCellMar>
            <w:top w:w="0" w:type="dxa"/>
            <w:left w:w="108" w:type="dxa"/>
            <w:bottom w:w="0" w:type="dxa"/>
            <w:right w:w="108" w:type="dxa"/>
          </w:tblCellMar>
        </w:tblPrEx>
        <w:trPr>
          <w:jc w:val="center"/>
        </w:trPr>
        <w:tc>
          <w:tcPr>
            <w:tcW w:w="1059" w:type="dxa"/>
            <w:vMerge w:val="continue"/>
            <w:tcBorders>
              <w:left w:val="single" w:color="auto" w:sz="4" w:space="0"/>
              <w:right w:val="single" w:color="auto" w:sz="4" w:space="0"/>
            </w:tcBorders>
            <w:noWrap w:val="0"/>
            <w:vAlign w:val="center"/>
          </w:tcPr>
          <w:p w14:paraId="00564828">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60" w:type="dxa"/>
            <w:vMerge w:val="continue"/>
            <w:tcBorders>
              <w:left w:val="nil"/>
              <w:right w:val="single" w:color="auto" w:sz="4" w:space="0"/>
            </w:tcBorders>
            <w:noWrap w:val="0"/>
            <w:vAlign w:val="center"/>
          </w:tcPr>
          <w:p w14:paraId="3F6EED2E">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50" w:type="dxa"/>
            <w:vMerge w:val="restart"/>
            <w:tcBorders>
              <w:top w:val="nil"/>
              <w:left w:val="nil"/>
              <w:right w:val="single" w:color="auto" w:sz="4" w:space="0"/>
            </w:tcBorders>
            <w:noWrap w:val="0"/>
            <w:vAlign w:val="center"/>
          </w:tcPr>
          <w:p w14:paraId="014AC1A2">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时效指标</w:t>
            </w:r>
          </w:p>
        </w:tc>
        <w:tc>
          <w:tcPr>
            <w:tcW w:w="1457" w:type="dxa"/>
            <w:tcBorders>
              <w:top w:val="nil"/>
              <w:left w:val="nil"/>
              <w:bottom w:val="single" w:color="auto" w:sz="4" w:space="0"/>
              <w:right w:val="single" w:color="auto" w:sz="4" w:space="0"/>
            </w:tcBorders>
            <w:shd w:val="clear" w:color="auto" w:fill="auto"/>
            <w:noWrap w:val="0"/>
            <w:vAlign w:val="center"/>
          </w:tcPr>
          <w:p w14:paraId="2CCF439E">
            <w:pPr>
              <w:widowControl/>
              <w:spacing w:line="240" w:lineRule="exact"/>
              <w:jc w:val="center"/>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2024年底完成绩效目标</w:t>
            </w:r>
          </w:p>
        </w:tc>
        <w:tc>
          <w:tcPr>
            <w:tcW w:w="1067" w:type="dxa"/>
            <w:tcBorders>
              <w:top w:val="nil"/>
              <w:left w:val="nil"/>
              <w:bottom w:val="single" w:color="auto" w:sz="4" w:space="0"/>
              <w:right w:val="single" w:color="auto" w:sz="4" w:space="0"/>
            </w:tcBorders>
            <w:shd w:val="clear" w:color="auto" w:fill="auto"/>
            <w:noWrap w:val="0"/>
            <w:vAlign w:val="center"/>
          </w:tcPr>
          <w:p w14:paraId="39638F10">
            <w:pPr>
              <w:widowControl/>
              <w:spacing w:line="240" w:lineRule="exact"/>
              <w:jc w:val="left"/>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rPr>
              <w:t>　</w:t>
            </w:r>
            <w:r>
              <w:rPr>
                <w:rFonts w:hint="eastAsia" w:ascii="仿宋_GB2312" w:hAnsi="仿宋_GB2312" w:eastAsia="仿宋_GB2312" w:cs="仿宋_GB2312"/>
                <w:color w:val="000000"/>
                <w:sz w:val="20"/>
                <w:szCs w:val="20"/>
                <w:highlight w:val="none"/>
                <w:lang w:val="en-US" w:eastAsia="zh-CN"/>
              </w:rPr>
              <w:t>2024年底完成绩效目标</w:t>
            </w:r>
          </w:p>
        </w:tc>
        <w:tc>
          <w:tcPr>
            <w:tcW w:w="1108" w:type="dxa"/>
            <w:tcBorders>
              <w:top w:val="nil"/>
              <w:left w:val="nil"/>
              <w:bottom w:val="single" w:color="auto" w:sz="4" w:space="0"/>
              <w:right w:val="single" w:color="auto" w:sz="4" w:space="0"/>
            </w:tcBorders>
            <w:shd w:val="clear" w:color="auto" w:fill="auto"/>
            <w:noWrap w:val="0"/>
            <w:vAlign w:val="center"/>
          </w:tcPr>
          <w:p w14:paraId="6EA319A9">
            <w:pPr>
              <w:widowControl/>
              <w:spacing w:line="240" w:lineRule="exact"/>
              <w:jc w:val="left"/>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rPr>
              <w:t>　</w:t>
            </w:r>
            <w:r>
              <w:rPr>
                <w:rFonts w:hint="eastAsia" w:ascii="仿宋_GB2312" w:hAnsi="仿宋_GB2312" w:eastAsia="仿宋_GB2312" w:cs="仿宋_GB2312"/>
                <w:color w:val="000000"/>
                <w:sz w:val="20"/>
                <w:szCs w:val="20"/>
                <w:highlight w:val="none"/>
                <w:lang w:val="en-US" w:eastAsia="zh-CN"/>
              </w:rPr>
              <w:t>已完成</w:t>
            </w:r>
          </w:p>
        </w:tc>
        <w:tc>
          <w:tcPr>
            <w:tcW w:w="815" w:type="dxa"/>
            <w:tcBorders>
              <w:top w:val="nil"/>
              <w:left w:val="nil"/>
              <w:bottom w:val="single" w:color="auto" w:sz="4" w:space="0"/>
              <w:right w:val="single" w:color="auto" w:sz="4" w:space="0"/>
            </w:tcBorders>
            <w:shd w:val="clear" w:color="auto" w:fill="auto"/>
            <w:noWrap w:val="0"/>
            <w:vAlign w:val="center"/>
          </w:tcPr>
          <w:p w14:paraId="6CAFA7E9">
            <w:pPr>
              <w:widowControl/>
              <w:spacing w:line="240" w:lineRule="exact"/>
              <w:jc w:val="left"/>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rPr>
              <w:t>　</w:t>
            </w:r>
            <w:r>
              <w:rPr>
                <w:rFonts w:hint="eastAsia" w:ascii="仿宋_GB2312" w:hAnsi="仿宋_GB2312" w:eastAsia="仿宋_GB2312" w:cs="仿宋_GB2312"/>
                <w:color w:val="000000"/>
                <w:sz w:val="20"/>
                <w:szCs w:val="20"/>
                <w:highlight w:val="none"/>
                <w:lang w:val="en-US" w:eastAsia="zh-CN"/>
              </w:rPr>
              <w:t>10</w:t>
            </w:r>
          </w:p>
        </w:tc>
        <w:tc>
          <w:tcPr>
            <w:tcW w:w="862" w:type="dxa"/>
            <w:tcBorders>
              <w:top w:val="nil"/>
              <w:left w:val="nil"/>
              <w:bottom w:val="single" w:color="auto" w:sz="4" w:space="0"/>
              <w:right w:val="single" w:color="auto" w:sz="4" w:space="0"/>
            </w:tcBorders>
            <w:shd w:val="clear" w:color="auto" w:fill="auto"/>
            <w:noWrap w:val="0"/>
            <w:vAlign w:val="center"/>
          </w:tcPr>
          <w:p w14:paraId="33074D66">
            <w:pPr>
              <w:widowControl/>
              <w:spacing w:line="240" w:lineRule="exact"/>
              <w:jc w:val="left"/>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rPr>
              <w:t>　</w:t>
            </w:r>
            <w:r>
              <w:rPr>
                <w:rFonts w:hint="eastAsia" w:ascii="仿宋_GB2312" w:hAnsi="仿宋_GB2312" w:eastAsia="仿宋_GB2312" w:cs="仿宋_GB2312"/>
                <w:color w:val="000000"/>
                <w:sz w:val="20"/>
                <w:szCs w:val="20"/>
                <w:highlight w:val="none"/>
                <w:lang w:val="en-US" w:eastAsia="zh-CN"/>
              </w:rPr>
              <w:t>10</w:t>
            </w:r>
          </w:p>
        </w:tc>
        <w:tc>
          <w:tcPr>
            <w:tcW w:w="1373" w:type="dxa"/>
            <w:tcBorders>
              <w:top w:val="nil"/>
              <w:left w:val="nil"/>
              <w:bottom w:val="single" w:color="auto" w:sz="4" w:space="0"/>
              <w:right w:val="single" w:color="auto" w:sz="4" w:space="0"/>
            </w:tcBorders>
            <w:noWrap w:val="0"/>
            <w:vAlign w:val="center"/>
          </w:tcPr>
          <w:p w14:paraId="0C517481">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14:paraId="1690602B">
        <w:tblPrEx>
          <w:tblCellMar>
            <w:top w:w="0" w:type="dxa"/>
            <w:left w:w="108" w:type="dxa"/>
            <w:bottom w:w="0" w:type="dxa"/>
            <w:right w:w="108" w:type="dxa"/>
          </w:tblCellMar>
        </w:tblPrEx>
        <w:trPr>
          <w:jc w:val="center"/>
        </w:trPr>
        <w:tc>
          <w:tcPr>
            <w:tcW w:w="1059" w:type="dxa"/>
            <w:vMerge w:val="continue"/>
            <w:tcBorders>
              <w:left w:val="single" w:color="auto" w:sz="4" w:space="0"/>
              <w:right w:val="single" w:color="auto" w:sz="4" w:space="0"/>
            </w:tcBorders>
            <w:noWrap w:val="0"/>
            <w:vAlign w:val="center"/>
          </w:tcPr>
          <w:p w14:paraId="579D1AFE">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60" w:type="dxa"/>
            <w:vMerge w:val="continue"/>
            <w:tcBorders>
              <w:left w:val="nil"/>
              <w:right w:val="single" w:color="auto" w:sz="4" w:space="0"/>
            </w:tcBorders>
            <w:noWrap w:val="0"/>
            <w:vAlign w:val="center"/>
          </w:tcPr>
          <w:p w14:paraId="4064225C">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50" w:type="dxa"/>
            <w:vMerge w:val="continue"/>
            <w:tcBorders>
              <w:left w:val="nil"/>
              <w:right w:val="single" w:color="auto" w:sz="4" w:space="0"/>
            </w:tcBorders>
            <w:noWrap w:val="0"/>
            <w:vAlign w:val="center"/>
          </w:tcPr>
          <w:p w14:paraId="2F2BDF83">
            <w:pPr>
              <w:keepNext w:val="0"/>
              <w:keepLines w:val="0"/>
              <w:pageBreakBefore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c>
          <w:tcPr>
            <w:tcW w:w="1457" w:type="dxa"/>
            <w:tcBorders>
              <w:top w:val="nil"/>
              <w:left w:val="nil"/>
              <w:bottom w:val="single" w:color="auto" w:sz="4" w:space="0"/>
              <w:right w:val="single" w:color="auto" w:sz="4" w:space="0"/>
            </w:tcBorders>
            <w:noWrap w:val="0"/>
            <w:vAlign w:val="center"/>
          </w:tcPr>
          <w:p w14:paraId="491D51F8">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67" w:type="dxa"/>
            <w:tcBorders>
              <w:top w:val="nil"/>
              <w:left w:val="nil"/>
              <w:bottom w:val="single" w:color="auto" w:sz="4" w:space="0"/>
              <w:right w:val="single" w:color="auto" w:sz="4" w:space="0"/>
            </w:tcBorders>
            <w:noWrap w:val="0"/>
            <w:vAlign w:val="center"/>
          </w:tcPr>
          <w:p w14:paraId="43C6FE7A">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108" w:type="dxa"/>
            <w:tcBorders>
              <w:top w:val="nil"/>
              <w:left w:val="nil"/>
              <w:bottom w:val="single" w:color="auto" w:sz="4" w:space="0"/>
              <w:right w:val="single" w:color="auto" w:sz="4" w:space="0"/>
            </w:tcBorders>
            <w:noWrap w:val="0"/>
            <w:vAlign w:val="center"/>
          </w:tcPr>
          <w:p w14:paraId="5DBFC9CE">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815" w:type="dxa"/>
            <w:tcBorders>
              <w:top w:val="nil"/>
              <w:left w:val="nil"/>
              <w:bottom w:val="single" w:color="auto" w:sz="4" w:space="0"/>
              <w:right w:val="single" w:color="auto" w:sz="4" w:space="0"/>
            </w:tcBorders>
            <w:noWrap w:val="0"/>
            <w:vAlign w:val="center"/>
          </w:tcPr>
          <w:p w14:paraId="3A416DA8">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862" w:type="dxa"/>
            <w:tcBorders>
              <w:top w:val="nil"/>
              <w:left w:val="nil"/>
              <w:bottom w:val="single" w:color="auto" w:sz="4" w:space="0"/>
              <w:right w:val="single" w:color="auto" w:sz="4" w:space="0"/>
            </w:tcBorders>
            <w:noWrap w:val="0"/>
            <w:vAlign w:val="center"/>
          </w:tcPr>
          <w:p w14:paraId="780515EF">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373" w:type="dxa"/>
            <w:tcBorders>
              <w:top w:val="nil"/>
              <w:left w:val="nil"/>
              <w:bottom w:val="single" w:color="auto" w:sz="4" w:space="0"/>
              <w:right w:val="single" w:color="auto" w:sz="4" w:space="0"/>
            </w:tcBorders>
            <w:noWrap w:val="0"/>
            <w:vAlign w:val="center"/>
          </w:tcPr>
          <w:p w14:paraId="7CCDC069">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14:paraId="25EDC964">
        <w:tblPrEx>
          <w:tblCellMar>
            <w:top w:w="0" w:type="dxa"/>
            <w:left w:w="108" w:type="dxa"/>
            <w:bottom w:w="0" w:type="dxa"/>
            <w:right w:w="108" w:type="dxa"/>
          </w:tblCellMar>
        </w:tblPrEx>
        <w:trPr>
          <w:jc w:val="center"/>
        </w:trPr>
        <w:tc>
          <w:tcPr>
            <w:tcW w:w="1059" w:type="dxa"/>
            <w:vMerge w:val="continue"/>
            <w:tcBorders>
              <w:left w:val="single" w:color="auto" w:sz="4" w:space="0"/>
              <w:right w:val="single" w:color="auto" w:sz="4" w:space="0"/>
            </w:tcBorders>
            <w:noWrap w:val="0"/>
            <w:vAlign w:val="center"/>
          </w:tcPr>
          <w:p w14:paraId="6672490A">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60" w:type="dxa"/>
            <w:vMerge w:val="continue"/>
            <w:tcBorders>
              <w:left w:val="nil"/>
              <w:right w:val="single" w:color="auto" w:sz="4" w:space="0"/>
            </w:tcBorders>
            <w:noWrap w:val="0"/>
            <w:vAlign w:val="center"/>
          </w:tcPr>
          <w:p w14:paraId="63C18177">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50" w:type="dxa"/>
            <w:vMerge w:val="continue"/>
            <w:tcBorders>
              <w:left w:val="nil"/>
              <w:bottom w:val="single" w:color="auto" w:sz="4" w:space="0"/>
              <w:right w:val="single" w:color="auto" w:sz="4" w:space="0"/>
            </w:tcBorders>
            <w:noWrap w:val="0"/>
            <w:vAlign w:val="center"/>
          </w:tcPr>
          <w:p w14:paraId="087A4233">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c>
          <w:tcPr>
            <w:tcW w:w="1457" w:type="dxa"/>
            <w:tcBorders>
              <w:top w:val="nil"/>
              <w:left w:val="nil"/>
              <w:bottom w:val="single" w:color="auto" w:sz="4" w:space="0"/>
              <w:right w:val="single" w:color="auto" w:sz="4" w:space="0"/>
            </w:tcBorders>
            <w:noWrap w:val="0"/>
            <w:vAlign w:val="center"/>
          </w:tcPr>
          <w:p w14:paraId="2901AB5A">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w:t>
            </w:r>
          </w:p>
        </w:tc>
        <w:tc>
          <w:tcPr>
            <w:tcW w:w="1067" w:type="dxa"/>
            <w:tcBorders>
              <w:top w:val="nil"/>
              <w:left w:val="nil"/>
              <w:bottom w:val="single" w:color="auto" w:sz="4" w:space="0"/>
              <w:right w:val="single" w:color="auto" w:sz="4" w:space="0"/>
            </w:tcBorders>
            <w:noWrap w:val="0"/>
            <w:vAlign w:val="center"/>
          </w:tcPr>
          <w:p w14:paraId="3EB7AA97">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108" w:type="dxa"/>
            <w:tcBorders>
              <w:top w:val="nil"/>
              <w:left w:val="nil"/>
              <w:bottom w:val="single" w:color="auto" w:sz="4" w:space="0"/>
              <w:right w:val="single" w:color="auto" w:sz="4" w:space="0"/>
            </w:tcBorders>
            <w:noWrap w:val="0"/>
            <w:vAlign w:val="center"/>
          </w:tcPr>
          <w:p w14:paraId="05020824">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815" w:type="dxa"/>
            <w:tcBorders>
              <w:top w:val="nil"/>
              <w:left w:val="nil"/>
              <w:bottom w:val="single" w:color="auto" w:sz="4" w:space="0"/>
              <w:right w:val="single" w:color="auto" w:sz="4" w:space="0"/>
            </w:tcBorders>
            <w:noWrap w:val="0"/>
            <w:vAlign w:val="center"/>
          </w:tcPr>
          <w:p w14:paraId="31FABC41">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862" w:type="dxa"/>
            <w:tcBorders>
              <w:top w:val="nil"/>
              <w:left w:val="nil"/>
              <w:bottom w:val="single" w:color="auto" w:sz="4" w:space="0"/>
              <w:right w:val="single" w:color="auto" w:sz="4" w:space="0"/>
            </w:tcBorders>
            <w:noWrap w:val="0"/>
            <w:vAlign w:val="center"/>
          </w:tcPr>
          <w:p w14:paraId="5C6F048A">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373" w:type="dxa"/>
            <w:tcBorders>
              <w:top w:val="nil"/>
              <w:left w:val="nil"/>
              <w:bottom w:val="single" w:color="auto" w:sz="4" w:space="0"/>
              <w:right w:val="single" w:color="auto" w:sz="4" w:space="0"/>
            </w:tcBorders>
            <w:noWrap w:val="0"/>
            <w:vAlign w:val="center"/>
          </w:tcPr>
          <w:p w14:paraId="7C15102B">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14:paraId="383D4DC5">
        <w:tblPrEx>
          <w:tblCellMar>
            <w:top w:w="0" w:type="dxa"/>
            <w:left w:w="108" w:type="dxa"/>
            <w:bottom w:w="0" w:type="dxa"/>
            <w:right w:w="108" w:type="dxa"/>
          </w:tblCellMar>
        </w:tblPrEx>
        <w:trPr>
          <w:jc w:val="center"/>
        </w:trPr>
        <w:tc>
          <w:tcPr>
            <w:tcW w:w="1059" w:type="dxa"/>
            <w:vMerge w:val="continue"/>
            <w:tcBorders>
              <w:left w:val="single" w:color="auto" w:sz="4" w:space="0"/>
              <w:right w:val="single" w:color="auto" w:sz="4" w:space="0"/>
            </w:tcBorders>
            <w:noWrap w:val="0"/>
            <w:vAlign w:val="center"/>
          </w:tcPr>
          <w:p w14:paraId="014C22A1">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60" w:type="dxa"/>
            <w:vMerge w:val="continue"/>
            <w:tcBorders>
              <w:left w:val="nil"/>
              <w:right w:val="single" w:color="auto" w:sz="4" w:space="0"/>
            </w:tcBorders>
            <w:noWrap w:val="0"/>
            <w:vAlign w:val="center"/>
          </w:tcPr>
          <w:p w14:paraId="6D123AF0">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50" w:type="dxa"/>
            <w:vMerge w:val="restart"/>
            <w:tcBorders>
              <w:top w:val="nil"/>
              <w:left w:val="nil"/>
              <w:right w:val="single" w:color="auto" w:sz="4" w:space="0"/>
            </w:tcBorders>
            <w:noWrap w:val="0"/>
            <w:vAlign w:val="center"/>
          </w:tcPr>
          <w:p w14:paraId="6642347C">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成本指标</w:t>
            </w:r>
          </w:p>
        </w:tc>
        <w:tc>
          <w:tcPr>
            <w:tcW w:w="1457" w:type="dxa"/>
            <w:tcBorders>
              <w:top w:val="nil"/>
              <w:left w:val="nil"/>
              <w:bottom w:val="single" w:color="auto" w:sz="4" w:space="0"/>
              <w:right w:val="single" w:color="auto" w:sz="4" w:space="0"/>
            </w:tcBorders>
            <w:shd w:val="clear" w:color="auto" w:fill="auto"/>
            <w:noWrap w:val="0"/>
            <w:vAlign w:val="center"/>
          </w:tcPr>
          <w:p w14:paraId="21F5386B">
            <w:pPr>
              <w:spacing w:line="240" w:lineRule="exact"/>
              <w:jc w:val="center"/>
              <w:rPr>
                <w:rFonts w:hint="eastAsia" w:ascii="仿宋" w:hAnsi="仿宋" w:eastAsia="仿宋" w:cs="仿宋"/>
                <w:spacing w:val="0"/>
                <w:kern w:val="2"/>
                <w:sz w:val="20"/>
                <w:szCs w:val="20"/>
                <w:lang w:val="en-US" w:eastAsia="zh-CN" w:bidi="ar-SA"/>
              </w:rPr>
            </w:pPr>
            <w:r>
              <w:rPr>
                <w:rFonts w:hint="eastAsia" w:ascii="仿宋" w:hAnsi="仿宋" w:eastAsia="仿宋" w:cs="仿宋"/>
                <w:spacing w:val="0"/>
                <w:sz w:val="20"/>
                <w:szCs w:val="20"/>
                <w:lang w:val="en-US" w:eastAsia="zh-CN"/>
              </w:rPr>
              <w:t>血清学检测合格献血者HBV/HCV/HIV核酸检测试剂</w:t>
            </w:r>
          </w:p>
        </w:tc>
        <w:tc>
          <w:tcPr>
            <w:tcW w:w="1067" w:type="dxa"/>
            <w:tcBorders>
              <w:top w:val="nil"/>
              <w:left w:val="nil"/>
              <w:bottom w:val="single" w:color="auto" w:sz="4" w:space="0"/>
              <w:right w:val="single" w:color="auto" w:sz="4" w:space="0"/>
            </w:tcBorders>
            <w:shd w:val="clear" w:color="auto" w:fill="auto"/>
            <w:noWrap w:val="0"/>
            <w:vAlign w:val="center"/>
          </w:tcPr>
          <w:p w14:paraId="5FE5A454">
            <w:pPr>
              <w:spacing w:line="240" w:lineRule="exact"/>
              <w:jc w:val="center"/>
              <w:rPr>
                <w:rFonts w:hint="eastAsia" w:ascii="仿宋" w:hAnsi="仿宋" w:eastAsia="仿宋" w:cs="仿宋"/>
                <w:spacing w:val="0"/>
                <w:kern w:val="2"/>
                <w:sz w:val="20"/>
                <w:szCs w:val="20"/>
                <w:lang w:val="en-US" w:eastAsia="zh-CN" w:bidi="ar-SA"/>
              </w:rPr>
            </w:pPr>
            <w:r>
              <w:rPr>
                <w:rFonts w:hint="eastAsia" w:ascii="仿宋" w:hAnsi="仿宋" w:eastAsia="仿宋" w:cs="仿宋"/>
                <w:spacing w:val="0"/>
                <w:kern w:val="2"/>
                <w:sz w:val="20"/>
                <w:szCs w:val="20"/>
                <w:lang w:val="en-US" w:eastAsia="zh-CN" w:bidi="ar-SA"/>
              </w:rPr>
              <w:t>56元/人份</w:t>
            </w:r>
          </w:p>
        </w:tc>
        <w:tc>
          <w:tcPr>
            <w:tcW w:w="1108" w:type="dxa"/>
            <w:tcBorders>
              <w:top w:val="nil"/>
              <w:left w:val="nil"/>
              <w:bottom w:val="single" w:color="auto" w:sz="4" w:space="0"/>
              <w:right w:val="single" w:color="auto" w:sz="4" w:space="0"/>
            </w:tcBorders>
            <w:shd w:val="clear" w:color="auto" w:fill="auto"/>
            <w:noWrap w:val="0"/>
            <w:vAlign w:val="center"/>
          </w:tcPr>
          <w:p w14:paraId="0B0E0DF4">
            <w:pPr>
              <w:spacing w:line="240" w:lineRule="exact"/>
              <w:jc w:val="center"/>
              <w:rPr>
                <w:rFonts w:hint="eastAsia" w:ascii="仿宋" w:hAnsi="仿宋" w:eastAsia="仿宋" w:cs="仿宋"/>
                <w:spacing w:val="0"/>
                <w:kern w:val="2"/>
                <w:sz w:val="20"/>
                <w:szCs w:val="20"/>
                <w:lang w:val="en-US" w:eastAsia="zh-CN" w:bidi="ar-SA"/>
              </w:rPr>
            </w:pPr>
            <w:r>
              <w:rPr>
                <w:rFonts w:hint="eastAsia" w:ascii="仿宋" w:hAnsi="仿宋" w:eastAsia="仿宋" w:cs="仿宋"/>
                <w:spacing w:val="0"/>
                <w:sz w:val="20"/>
                <w:szCs w:val="20"/>
                <w:lang w:val="en-US" w:eastAsia="zh-CN"/>
              </w:rPr>
              <w:t>56元/人份</w:t>
            </w:r>
          </w:p>
        </w:tc>
        <w:tc>
          <w:tcPr>
            <w:tcW w:w="815" w:type="dxa"/>
            <w:tcBorders>
              <w:top w:val="nil"/>
              <w:left w:val="nil"/>
              <w:bottom w:val="single" w:color="auto" w:sz="4" w:space="0"/>
              <w:right w:val="single" w:color="auto" w:sz="4" w:space="0"/>
            </w:tcBorders>
            <w:noWrap w:val="0"/>
            <w:vAlign w:val="center"/>
          </w:tcPr>
          <w:p w14:paraId="2681B7E9">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10</w:t>
            </w:r>
          </w:p>
        </w:tc>
        <w:tc>
          <w:tcPr>
            <w:tcW w:w="862" w:type="dxa"/>
            <w:tcBorders>
              <w:top w:val="nil"/>
              <w:left w:val="nil"/>
              <w:bottom w:val="single" w:color="auto" w:sz="4" w:space="0"/>
              <w:right w:val="single" w:color="auto" w:sz="4" w:space="0"/>
            </w:tcBorders>
            <w:noWrap w:val="0"/>
            <w:vAlign w:val="center"/>
          </w:tcPr>
          <w:p w14:paraId="732FD462">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10</w:t>
            </w:r>
          </w:p>
        </w:tc>
        <w:tc>
          <w:tcPr>
            <w:tcW w:w="1373" w:type="dxa"/>
            <w:tcBorders>
              <w:top w:val="nil"/>
              <w:left w:val="nil"/>
              <w:bottom w:val="single" w:color="auto" w:sz="4" w:space="0"/>
              <w:right w:val="single" w:color="auto" w:sz="4" w:space="0"/>
            </w:tcBorders>
            <w:noWrap w:val="0"/>
            <w:vAlign w:val="center"/>
          </w:tcPr>
          <w:p w14:paraId="50618ECF">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14:paraId="3AF68139">
        <w:tblPrEx>
          <w:tblCellMar>
            <w:top w:w="0" w:type="dxa"/>
            <w:left w:w="108" w:type="dxa"/>
            <w:bottom w:w="0" w:type="dxa"/>
            <w:right w:w="108" w:type="dxa"/>
          </w:tblCellMar>
        </w:tblPrEx>
        <w:trPr>
          <w:jc w:val="center"/>
        </w:trPr>
        <w:tc>
          <w:tcPr>
            <w:tcW w:w="1059" w:type="dxa"/>
            <w:vMerge w:val="continue"/>
            <w:tcBorders>
              <w:left w:val="single" w:color="auto" w:sz="4" w:space="0"/>
              <w:right w:val="single" w:color="auto" w:sz="4" w:space="0"/>
            </w:tcBorders>
            <w:noWrap w:val="0"/>
            <w:vAlign w:val="center"/>
          </w:tcPr>
          <w:p w14:paraId="5D84B9D6">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60" w:type="dxa"/>
            <w:vMerge w:val="continue"/>
            <w:tcBorders>
              <w:left w:val="nil"/>
              <w:right w:val="single" w:color="auto" w:sz="4" w:space="0"/>
            </w:tcBorders>
            <w:noWrap w:val="0"/>
            <w:vAlign w:val="center"/>
          </w:tcPr>
          <w:p w14:paraId="39332D44">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50" w:type="dxa"/>
            <w:vMerge w:val="continue"/>
            <w:tcBorders>
              <w:left w:val="nil"/>
              <w:right w:val="single" w:color="auto" w:sz="4" w:space="0"/>
            </w:tcBorders>
            <w:noWrap w:val="0"/>
            <w:vAlign w:val="center"/>
          </w:tcPr>
          <w:p w14:paraId="2CA4D495">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457" w:type="dxa"/>
            <w:tcBorders>
              <w:top w:val="nil"/>
              <w:left w:val="nil"/>
              <w:bottom w:val="single" w:color="auto" w:sz="4" w:space="0"/>
              <w:right w:val="single" w:color="auto" w:sz="4" w:space="0"/>
            </w:tcBorders>
            <w:noWrap w:val="0"/>
            <w:vAlign w:val="center"/>
          </w:tcPr>
          <w:p w14:paraId="0703A236">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67" w:type="dxa"/>
            <w:tcBorders>
              <w:top w:val="nil"/>
              <w:left w:val="nil"/>
              <w:bottom w:val="single" w:color="auto" w:sz="4" w:space="0"/>
              <w:right w:val="single" w:color="auto" w:sz="4" w:space="0"/>
            </w:tcBorders>
            <w:noWrap w:val="0"/>
            <w:vAlign w:val="center"/>
          </w:tcPr>
          <w:p w14:paraId="72A81CDB">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108" w:type="dxa"/>
            <w:tcBorders>
              <w:top w:val="nil"/>
              <w:left w:val="nil"/>
              <w:bottom w:val="single" w:color="auto" w:sz="4" w:space="0"/>
              <w:right w:val="single" w:color="auto" w:sz="4" w:space="0"/>
            </w:tcBorders>
            <w:noWrap w:val="0"/>
            <w:vAlign w:val="center"/>
          </w:tcPr>
          <w:p w14:paraId="61A08830">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815" w:type="dxa"/>
            <w:tcBorders>
              <w:top w:val="nil"/>
              <w:left w:val="nil"/>
              <w:bottom w:val="single" w:color="auto" w:sz="4" w:space="0"/>
              <w:right w:val="single" w:color="auto" w:sz="4" w:space="0"/>
            </w:tcBorders>
            <w:noWrap w:val="0"/>
            <w:vAlign w:val="center"/>
          </w:tcPr>
          <w:p w14:paraId="601CACEE">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862" w:type="dxa"/>
            <w:tcBorders>
              <w:top w:val="nil"/>
              <w:left w:val="nil"/>
              <w:bottom w:val="single" w:color="auto" w:sz="4" w:space="0"/>
              <w:right w:val="single" w:color="auto" w:sz="4" w:space="0"/>
            </w:tcBorders>
            <w:noWrap w:val="0"/>
            <w:vAlign w:val="center"/>
          </w:tcPr>
          <w:p w14:paraId="4ECD164A">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373" w:type="dxa"/>
            <w:tcBorders>
              <w:top w:val="nil"/>
              <w:left w:val="nil"/>
              <w:bottom w:val="single" w:color="auto" w:sz="4" w:space="0"/>
              <w:right w:val="single" w:color="auto" w:sz="4" w:space="0"/>
            </w:tcBorders>
            <w:noWrap w:val="0"/>
            <w:vAlign w:val="center"/>
          </w:tcPr>
          <w:p w14:paraId="6CCE4604">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14:paraId="41D6B698">
        <w:tblPrEx>
          <w:tblCellMar>
            <w:top w:w="0" w:type="dxa"/>
            <w:left w:w="108" w:type="dxa"/>
            <w:bottom w:w="0" w:type="dxa"/>
            <w:right w:w="108" w:type="dxa"/>
          </w:tblCellMar>
        </w:tblPrEx>
        <w:trPr>
          <w:jc w:val="center"/>
        </w:trPr>
        <w:tc>
          <w:tcPr>
            <w:tcW w:w="1059" w:type="dxa"/>
            <w:vMerge w:val="continue"/>
            <w:tcBorders>
              <w:left w:val="single" w:color="auto" w:sz="4" w:space="0"/>
              <w:right w:val="single" w:color="auto" w:sz="4" w:space="0"/>
            </w:tcBorders>
            <w:noWrap w:val="0"/>
            <w:vAlign w:val="center"/>
          </w:tcPr>
          <w:p w14:paraId="434EAE86">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60" w:type="dxa"/>
            <w:vMerge w:val="continue"/>
            <w:tcBorders>
              <w:left w:val="nil"/>
              <w:bottom w:val="single" w:color="auto" w:sz="4" w:space="0"/>
              <w:right w:val="single" w:color="auto" w:sz="4" w:space="0"/>
            </w:tcBorders>
            <w:noWrap w:val="0"/>
            <w:vAlign w:val="center"/>
          </w:tcPr>
          <w:p w14:paraId="37A0C6E9">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50" w:type="dxa"/>
            <w:vMerge w:val="continue"/>
            <w:tcBorders>
              <w:left w:val="nil"/>
              <w:bottom w:val="single" w:color="auto" w:sz="4" w:space="0"/>
              <w:right w:val="single" w:color="auto" w:sz="4" w:space="0"/>
            </w:tcBorders>
            <w:noWrap w:val="0"/>
            <w:vAlign w:val="center"/>
          </w:tcPr>
          <w:p w14:paraId="6670A86E">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457" w:type="dxa"/>
            <w:tcBorders>
              <w:top w:val="nil"/>
              <w:left w:val="nil"/>
              <w:bottom w:val="single" w:color="auto" w:sz="4" w:space="0"/>
              <w:right w:val="single" w:color="auto" w:sz="4" w:space="0"/>
            </w:tcBorders>
            <w:noWrap w:val="0"/>
            <w:vAlign w:val="center"/>
          </w:tcPr>
          <w:p w14:paraId="00EE78C6">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w:t>
            </w:r>
          </w:p>
        </w:tc>
        <w:tc>
          <w:tcPr>
            <w:tcW w:w="1067" w:type="dxa"/>
            <w:tcBorders>
              <w:top w:val="nil"/>
              <w:left w:val="nil"/>
              <w:bottom w:val="single" w:color="auto" w:sz="4" w:space="0"/>
              <w:right w:val="single" w:color="auto" w:sz="4" w:space="0"/>
            </w:tcBorders>
            <w:noWrap w:val="0"/>
            <w:vAlign w:val="center"/>
          </w:tcPr>
          <w:p w14:paraId="518456E9">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108" w:type="dxa"/>
            <w:tcBorders>
              <w:top w:val="nil"/>
              <w:left w:val="nil"/>
              <w:bottom w:val="single" w:color="auto" w:sz="4" w:space="0"/>
              <w:right w:val="single" w:color="auto" w:sz="4" w:space="0"/>
            </w:tcBorders>
            <w:noWrap w:val="0"/>
            <w:vAlign w:val="center"/>
          </w:tcPr>
          <w:p w14:paraId="531962F8">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815" w:type="dxa"/>
            <w:tcBorders>
              <w:top w:val="nil"/>
              <w:left w:val="nil"/>
              <w:bottom w:val="single" w:color="auto" w:sz="4" w:space="0"/>
              <w:right w:val="single" w:color="auto" w:sz="4" w:space="0"/>
            </w:tcBorders>
            <w:noWrap w:val="0"/>
            <w:vAlign w:val="center"/>
          </w:tcPr>
          <w:p w14:paraId="53ADEC8A">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862" w:type="dxa"/>
            <w:tcBorders>
              <w:top w:val="nil"/>
              <w:left w:val="nil"/>
              <w:bottom w:val="single" w:color="auto" w:sz="4" w:space="0"/>
              <w:right w:val="single" w:color="auto" w:sz="4" w:space="0"/>
            </w:tcBorders>
            <w:noWrap w:val="0"/>
            <w:vAlign w:val="center"/>
          </w:tcPr>
          <w:p w14:paraId="3A900810">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373" w:type="dxa"/>
            <w:tcBorders>
              <w:top w:val="nil"/>
              <w:left w:val="nil"/>
              <w:bottom w:val="single" w:color="auto" w:sz="4" w:space="0"/>
              <w:right w:val="single" w:color="auto" w:sz="4" w:space="0"/>
            </w:tcBorders>
            <w:noWrap w:val="0"/>
            <w:vAlign w:val="center"/>
          </w:tcPr>
          <w:p w14:paraId="07577303">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14:paraId="0A98FF10">
        <w:tblPrEx>
          <w:tblCellMar>
            <w:top w:w="0" w:type="dxa"/>
            <w:left w:w="108" w:type="dxa"/>
            <w:bottom w:w="0" w:type="dxa"/>
            <w:right w:w="108" w:type="dxa"/>
          </w:tblCellMar>
        </w:tblPrEx>
        <w:trPr>
          <w:jc w:val="center"/>
        </w:trPr>
        <w:tc>
          <w:tcPr>
            <w:tcW w:w="1059" w:type="dxa"/>
            <w:vMerge w:val="continue"/>
            <w:tcBorders>
              <w:left w:val="single" w:color="auto" w:sz="4" w:space="0"/>
              <w:right w:val="single" w:color="auto" w:sz="4" w:space="0"/>
            </w:tcBorders>
            <w:noWrap w:val="0"/>
            <w:vAlign w:val="center"/>
          </w:tcPr>
          <w:p w14:paraId="46DA1616">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60" w:type="dxa"/>
            <w:vMerge w:val="restart"/>
            <w:tcBorders>
              <w:top w:val="nil"/>
              <w:left w:val="nil"/>
              <w:right w:val="single" w:color="auto" w:sz="4" w:space="0"/>
            </w:tcBorders>
            <w:noWrap w:val="0"/>
            <w:vAlign w:val="center"/>
          </w:tcPr>
          <w:p w14:paraId="0633EBBE">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效益指标</w:t>
            </w:r>
          </w:p>
          <w:p w14:paraId="0E3908A9">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p w14:paraId="18B49C3B">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（30分）</w:t>
            </w:r>
          </w:p>
          <w:p w14:paraId="5DA828FF">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050" w:type="dxa"/>
            <w:vMerge w:val="restart"/>
            <w:tcBorders>
              <w:top w:val="nil"/>
              <w:left w:val="nil"/>
              <w:right w:val="single" w:color="auto" w:sz="4" w:space="0"/>
            </w:tcBorders>
            <w:noWrap w:val="0"/>
            <w:vAlign w:val="center"/>
          </w:tcPr>
          <w:p w14:paraId="213F0194">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经济效</w:t>
            </w:r>
          </w:p>
          <w:p w14:paraId="1A8CE645">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益指标</w:t>
            </w:r>
          </w:p>
        </w:tc>
        <w:tc>
          <w:tcPr>
            <w:tcW w:w="1457" w:type="dxa"/>
            <w:tcBorders>
              <w:top w:val="nil"/>
              <w:left w:val="nil"/>
              <w:bottom w:val="single" w:color="auto" w:sz="4" w:space="0"/>
              <w:right w:val="single" w:color="auto" w:sz="4" w:space="0"/>
            </w:tcBorders>
            <w:shd w:val="clear" w:color="auto" w:fill="auto"/>
            <w:noWrap w:val="0"/>
            <w:vAlign w:val="center"/>
          </w:tcPr>
          <w:p w14:paraId="5CC20CB1">
            <w:pPr>
              <w:widowControl/>
              <w:spacing w:line="240" w:lineRule="exact"/>
              <w:jc w:val="center"/>
              <w:rPr>
                <w:rFonts w:hint="eastAsia" w:ascii="仿宋" w:hAnsi="仿宋" w:eastAsia="仿宋" w:cs="仿宋"/>
                <w:color w:val="000000"/>
                <w:kern w:val="2"/>
                <w:sz w:val="20"/>
                <w:szCs w:val="20"/>
                <w:highlight w:val="none"/>
                <w:lang w:val="en-US" w:eastAsia="zh-CN" w:bidi="ar-SA"/>
              </w:rPr>
            </w:pPr>
            <w:r>
              <w:rPr>
                <w:rFonts w:hint="eastAsia" w:ascii="仿宋" w:hAnsi="仿宋" w:eastAsia="仿宋" w:cs="仿宋"/>
                <w:color w:val="000000"/>
                <w:sz w:val="20"/>
                <w:szCs w:val="20"/>
                <w:highlight w:val="none"/>
                <w:lang w:val="en-US" w:eastAsia="zh-CN"/>
              </w:rPr>
              <w:t>改善人群生活环境</w:t>
            </w:r>
          </w:p>
        </w:tc>
        <w:tc>
          <w:tcPr>
            <w:tcW w:w="1067" w:type="dxa"/>
            <w:tcBorders>
              <w:top w:val="nil"/>
              <w:left w:val="nil"/>
              <w:bottom w:val="single" w:color="auto" w:sz="4" w:space="0"/>
              <w:right w:val="single" w:color="auto" w:sz="4" w:space="0"/>
            </w:tcBorders>
            <w:shd w:val="clear" w:color="auto" w:fill="auto"/>
            <w:noWrap w:val="0"/>
            <w:vAlign w:val="center"/>
          </w:tcPr>
          <w:p w14:paraId="143E94FB">
            <w:pPr>
              <w:widowControl/>
              <w:spacing w:line="240" w:lineRule="exact"/>
              <w:jc w:val="left"/>
              <w:rPr>
                <w:rFonts w:hint="eastAsia" w:ascii="仿宋" w:hAnsi="仿宋" w:eastAsia="仿宋" w:cs="仿宋"/>
                <w:color w:val="000000"/>
                <w:kern w:val="2"/>
                <w:sz w:val="20"/>
                <w:szCs w:val="20"/>
                <w:highlight w:val="none"/>
                <w:lang w:val="en-US" w:eastAsia="zh-CN" w:bidi="ar-SA"/>
              </w:rPr>
            </w:pPr>
            <w:r>
              <w:rPr>
                <w:rFonts w:hint="eastAsia" w:ascii="仿宋" w:hAnsi="仿宋" w:eastAsia="仿宋" w:cs="仿宋"/>
                <w:color w:val="000000"/>
                <w:sz w:val="20"/>
                <w:szCs w:val="20"/>
                <w:highlight w:val="none"/>
              </w:rPr>
              <w:t>　</w:t>
            </w:r>
            <w:r>
              <w:rPr>
                <w:rFonts w:hint="eastAsia" w:ascii="仿宋" w:hAnsi="仿宋" w:eastAsia="仿宋" w:cs="仿宋"/>
                <w:color w:val="000000"/>
                <w:sz w:val="20"/>
                <w:szCs w:val="20"/>
                <w:highlight w:val="none"/>
                <w:lang w:val="en-US" w:eastAsia="zh-CN"/>
              </w:rPr>
              <w:t>生活有所改善</w:t>
            </w:r>
          </w:p>
        </w:tc>
        <w:tc>
          <w:tcPr>
            <w:tcW w:w="1108" w:type="dxa"/>
            <w:tcBorders>
              <w:top w:val="nil"/>
              <w:left w:val="nil"/>
              <w:bottom w:val="single" w:color="auto" w:sz="4" w:space="0"/>
              <w:right w:val="single" w:color="auto" w:sz="4" w:space="0"/>
            </w:tcBorders>
            <w:shd w:val="clear" w:color="auto" w:fill="auto"/>
            <w:noWrap w:val="0"/>
            <w:vAlign w:val="center"/>
          </w:tcPr>
          <w:p w14:paraId="10FBAEA2">
            <w:pPr>
              <w:widowControl/>
              <w:spacing w:line="240" w:lineRule="exact"/>
              <w:jc w:val="left"/>
              <w:rPr>
                <w:rFonts w:hint="eastAsia" w:ascii="仿宋" w:hAnsi="仿宋" w:eastAsia="仿宋" w:cs="仿宋"/>
                <w:color w:val="000000"/>
                <w:kern w:val="2"/>
                <w:sz w:val="20"/>
                <w:szCs w:val="20"/>
                <w:highlight w:val="none"/>
                <w:lang w:val="en-US" w:eastAsia="zh-CN" w:bidi="ar-SA"/>
              </w:rPr>
            </w:pPr>
            <w:r>
              <w:rPr>
                <w:rFonts w:hint="eastAsia" w:ascii="仿宋" w:hAnsi="仿宋" w:eastAsia="仿宋" w:cs="仿宋"/>
                <w:color w:val="000000"/>
                <w:sz w:val="20"/>
                <w:szCs w:val="20"/>
                <w:highlight w:val="none"/>
              </w:rPr>
              <w:t>　</w:t>
            </w:r>
            <w:r>
              <w:rPr>
                <w:rFonts w:hint="eastAsia" w:ascii="仿宋" w:hAnsi="仿宋" w:eastAsia="仿宋" w:cs="仿宋"/>
                <w:color w:val="000000"/>
                <w:sz w:val="20"/>
                <w:szCs w:val="20"/>
                <w:highlight w:val="none"/>
                <w:lang w:val="en-US" w:eastAsia="zh-CN"/>
              </w:rPr>
              <w:t>人群献血满意度提高，生活有所改善</w:t>
            </w:r>
          </w:p>
        </w:tc>
        <w:tc>
          <w:tcPr>
            <w:tcW w:w="815" w:type="dxa"/>
            <w:tcBorders>
              <w:top w:val="nil"/>
              <w:left w:val="nil"/>
              <w:bottom w:val="single" w:color="auto" w:sz="4" w:space="0"/>
              <w:right w:val="single" w:color="auto" w:sz="4" w:space="0"/>
            </w:tcBorders>
            <w:shd w:val="clear" w:color="auto" w:fill="auto"/>
            <w:noWrap w:val="0"/>
            <w:vAlign w:val="center"/>
          </w:tcPr>
          <w:p w14:paraId="47D4F4F1">
            <w:pPr>
              <w:widowControl/>
              <w:spacing w:line="240" w:lineRule="exact"/>
              <w:jc w:val="left"/>
              <w:rPr>
                <w:rFonts w:hint="eastAsia" w:ascii="仿宋" w:hAnsi="仿宋" w:eastAsia="仿宋" w:cs="仿宋"/>
                <w:color w:val="000000"/>
                <w:kern w:val="2"/>
                <w:sz w:val="20"/>
                <w:szCs w:val="20"/>
                <w:highlight w:val="none"/>
                <w:lang w:val="en-US" w:eastAsia="zh-CN" w:bidi="ar-SA"/>
              </w:rPr>
            </w:pPr>
            <w:r>
              <w:rPr>
                <w:rFonts w:hint="eastAsia" w:ascii="仿宋" w:hAnsi="仿宋" w:eastAsia="仿宋" w:cs="仿宋"/>
                <w:color w:val="000000"/>
                <w:sz w:val="20"/>
                <w:szCs w:val="20"/>
                <w:highlight w:val="none"/>
              </w:rPr>
              <w:t>　</w:t>
            </w:r>
            <w:r>
              <w:rPr>
                <w:rFonts w:hint="eastAsia" w:ascii="仿宋" w:hAnsi="仿宋" w:eastAsia="仿宋" w:cs="仿宋"/>
                <w:color w:val="000000"/>
                <w:sz w:val="20"/>
                <w:szCs w:val="20"/>
                <w:highlight w:val="none"/>
                <w:lang w:val="en-US" w:eastAsia="zh-CN"/>
              </w:rPr>
              <w:t>5</w:t>
            </w:r>
          </w:p>
        </w:tc>
        <w:tc>
          <w:tcPr>
            <w:tcW w:w="862" w:type="dxa"/>
            <w:tcBorders>
              <w:top w:val="nil"/>
              <w:left w:val="nil"/>
              <w:bottom w:val="single" w:color="auto" w:sz="4" w:space="0"/>
              <w:right w:val="single" w:color="auto" w:sz="4" w:space="0"/>
            </w:tcBorders>
            <w:shd w:val="clear" w:color="auto" w:fill="auto"/>
            <w:noWrap w:val="0"/>
            <w:vAlign w:val="center"/>
          </w:tcPr>
          <w:p w14:paraId="671A7FD1">
            <w:pPr>
              <w:widowControl/>
              <w:spacing w:line="240" w:lineRule="exact"/>
              <w:jc w:val="left"/>
              <w:rPr>
                <w:rFonts w:hint="eastAsia" w:ascii="仿宋" w:hAnsi="仿宋" w:eastAsia="仿宋" w:cs="仿宋"/>
                <w:color w:val="000000"/>
                <w:kern w:val="2"/>
                <w:sz w:val="20"/>
                <w:szCs w:val="20"/>
                <w:highlight w:val="none"/>
                <w:lang w:val="en-US" w:eastAsia="zh-CN" w:bidi="ar-SA"/>
              </w:rPr>
            </w:pPr>
            <w:r>
              <w:rPr>
                <w:rFonts w:hint="eastAsia" w:ascii="仿宋" w:hAnsi="仿宋" w:eastAsia="仿宋" w:cs="仿宋"/>
                <w:color w:val="000000"/>
                <w:sz w:val="20"/>
                <w:szCs w:val="20"/>
                <w:highlight w:val="none"/>
              </w:rPr>
              <w:t>　</w:t>
            </w:r>
            <w:r>
              <w:rPr>
                <w:rFonts w:hint="eastAsia" w:ascii="仿宋" w:hAnsi="仿宋" w:eastAsia="仿宋" w:cs="仿宋"/>
                <w:color w:val="000000"/>
                <w:sz w:val="20"/>
                <w:szCs w:val="20"/>
                <w:highlight w:val="none"/>
                <w:lang w:val="en-US" w:eastAsia="zh-CN"/>
              </w:rPr>
              <w:t>5</w:t>
            </w:r>
          </w:p>
        </w:tc>
        <w:tc>
          <w:tcPr>
            <w:tcW w:w="1373" w:type="dxa"/>
            <w:tcBorders>
              <w:top w:val="nil"/>
              <w:left w:val="nil"/>
              <w:bottom w:val="single" w:color="auto" w:sz="4" w:space="0"/>
              <w:right w:val="single" w:color="auto" w:sz="4" w:space="0"/>
            </w:tcBorders>
            <w:noWrap w:val="0"/>
            <w:vAlign w:val="center"/>
          </w:tcPr>
          <w:p w14:paraId="655BA2E8">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14:paraId="201877A1">
        <w:tblPrEx>
          <w:tblCellMar>
            <w:top w:w="0" w:type="dxa"/>
            <w:left w:w="108" w:type="dxa"/>
            <w:bottom w:w="0" w:type="dxa"/>
            <w:right w:w="108" w:type="dxa"/>
          </w:tblCellMar>
        </w:tblPrEx>
        <w:trPr>
          <w:jc w:val="center"/>
        </w:trPr>
        <w:tc>
          <w:tcPr>
            <w:tcW w:w="1059" w:type="dxa"/>
            <w:vMerge w:val="continue"/>
            <w:tcBorders>
              <w:left w:val="single" w:color="auto" w:sz="4" w:space="0"/>
              <w:right w:val="single" w:color="auto" w:sz="4" w:space="0"/>
            </w:tcBorders>
            <w:noWrap w:val="0"/>
            <w:vAlign w:val="center"/>
          </w:tcPr>
          <w:p w14:paraId="4AA88FDE">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60" w:type="dxa"/>
            <w:vMerge w:val="continue"/>
            <w:tcBorders>
              <w:left w:val="nil"/>
              <w:right w:val="single" w:color="auto" w:sz="4" w:space="0"/>
            </w:tcBorders>
            <w:noWrap w:val="0"/>
            <w:vAlign w:val="center"/>
          </w:tcPr>
          <w:p w14:paraId="3C45F5F7">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50" w:type="dxa"/>
            <w:vMerge w:val="continue"/>
            <w:tcBorders>
              <w:left w:val="nil"/>
              <w:right w:val="single" w:color="auto" w:sz="4" w:space="0"/>
            </w:tcBorders>
            <w:noWrap w:val="0"/>
            <w:vAlign w:val="center"/>
          </w:tcPr>
          <w:p w14:paraId="50A857B1">
            <w:pPr>
              <w:keepNext w:val="0"/>
              <w:keepLines w:val="0"/>
              <w:pageBreakBefore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c>
          <w:tcPr>
            <w:tcW w:w="1457" w:type="dxa"/>
            <w:tcBorders>
              <w:top w:val="nil"/>
              <w:left w:val="nil"/>
              <w:bottom w:val="single" w:color="auto" w:sz="4" w:space="0"/>
              <w:right w:val="single" w:color="auto" w:sz="4" w:space="0"/>
            </w:tcBorders>
            <w:noWrap w:val="0"/>
            <w:vAlign w:val="center"/>
          </w:tcPr>
          <w:p w14:paraId="500CBAAE">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67" w:type="dxa"/>
            <w:tcBorders>
              <w:top w:val="nil"/>
              <w:left w:val="nil"/>
              <w:bottom w:val="single" w:color="auto" w:sz="4" w:space="0"/>
              <w:right w:val="single" w:color="auto" w:sz="4" w:space="0"/>
            </w:tcBorders>
            <w:noWrap w:val="0"/>
            <w:vAlign w:val="center"/>
          </w:tcPr>
          <w:p w14:paraId="20452F9A">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108" w:type="dxa"/>
            <w:tcBorders>
              <w:top w:val="nil"/>
              <w:left w:val="nil"/>
              <w:bottom w:val="single" w:color="auto" w:sz="4" w:space="0"/>
              <w:right w:val="single" w:color="auto" w:sz="4" w:space="0"/>
            </w:tcBorders>
            <w:noWrap w:val="0"/>
            <w:vAlign w:val="center"/>
          </w:tcPr>
          <w:p w14:paraId="05B94252">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815" w:type="dxa"/>
            <w:tcBorders>
              <w:top w:val="nil"/>
              <w:left w:val="nil"/>
              <w:bottom w:val="single" w:color="auto" w:sz="4" w:space="0"/>
              <w:right w:val="single" w:color="auto" w:sz="4" w:space="0"/>
            </w:tcBorders>
            <w:noWrap w:val="0"/>
            <w:vAlign w:val="center"/>
          </w:tcPr>
          <w:p w14:paraId="0927D50C">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862" w:type="dxa"/>
            <w:tcBorders>
              <w:top w:val="nil"/>
              <w:left w:val="nil"/>
              <w:bottom w:val="single" w:color="auto" w:sz="4" w:space="0"/>
              <w:right w:val="single" w:color="auto" w:sz="4" w:space="0"/>
            </w:tcBorders>
            <w:noWrap w:val="0"/>
            <w:vAlign w:val="center"/>
          </w:tcPr>
          <w:p w14:paraId="3F933E3B">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373" w:type="dxa"/>
            <w:tcBorders>
              <w:top w:val="nil"/>
              <w:left w:val="nil"/>
              <w:bottom w:val="single" w:color="auto" w:sz="4" w:space="0"/>
              <w:right w:val="single" w:color="auto" w:sz="4" w:space="0"/>
            </w:tcBorders>
            <w:noWrap w:val="0"/>
            <w:vAlign w:val="center"/>
          </w:tcPr>
          <w:p w14:paraId="5678E9FD">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14:paraId="1CEFCA8F">
        <w:tblPrEx>
          <w:tblCellMar>
            <w:top w:w="0" w:type="dxa"/>
            <w:left w:w="108" w:type="dxa"/>
            <w:bottom w:w="0" w:type="dxa"/>
            <w:right w:w="108" w:type="dxa"/>
          </w:tblCellMar>
        </w:tblPrEx>
        <w:trPr>
          <w:jc w:val="center"/>
        </w:trPr>
        <w:tc>
          <w:tcPr>
            <w:tcW w:w="1059" w:type="dxa"/>
            <w:vMerge w:val="continue"/>
            <w:tcBorders>
              <w:left w:val="single" w:color="auto" w:sz="4" w:space="0"/>
              <w:right w:val="single" w:color="auto" w:sz="4" w:space="0"/>
            </w:tcBorders>
            <w:noWrap w:val="0"/>
            <w:vAlign w:val="center"/>
          </w:tcPr>
          <w:p w14:paraId="395A1C23">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60" w:type="dxa"/>
            <w:vMerge w:val="continue"/>
            <w:tcBorders>
              <w:left w:val="nil"/>
              <w:right w:val="single" w:color="auto" w:sz="4" w:space="0"/>
            </w:tcBorders>
            <w:noWrap w:val="0"/>
            <w:vAlign w:val="center"/>
          </w:tcPr>
          <w:p w14:paraId="7AB5D90C">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50" w:type="dxa"/>
            <w:vMerge w:val="continue"/>
            <w:tcBorders>
              <w:left w:val="nil"/>
              <w:bottom w:val="single" w:color="auto" w:sz="4" w:space="0"/>
              <w:right w:val="single" w:color="auto" w:sz="4" w:space="0"/>
            </w:tcBorders>
            <w:noWrap w:val="0"/>
            <w:vAlign w:val="center"/>
          </w:tcPr>
          <w:p w14:paraId="0085AC99">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c>
          <w:tcPr>
            <w:tcW w:w="1457" w:type="dxa"/>
            <w:tcBorders>
              <w:top w:val="nil"/>
              <w:left w:val="nil"/>
              <w:bottom w:val="single" w:color="auto" w:sz="4" w:space="0"/>
              <w:right w:val="single" w:color="auto" w:sz="4" w:space="0"/>
            </w:tcBorders>
            <w:noWrap w:val="0"/>
            <w:vAlign w:val="center"/>
          </w:tcPr>
          <w:p w14:paraId="2E96455A">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w:t>
            </w:r>
          </w:p>
        </w:tc>
        <w:tc>
          <w:tcPr>
            <w:tcW w:w="1067" w:type="dxa"/>
            <w:tcBorders>
              <w:top w:val="nil"/>
              <w:left w:val="nil"/>
              <w:bottom w:val="single" w:color="auto" w:sz="4" w:space="0"/>
              <w:right w:val="single" w:color="auto" w:sz="4" w:space="0"/>
            </w:tcBorders>
            <w:noWrap w:val="0"/>
            <w:vAlign w:val="center"/>
          </w:tcPr>
          <w:p w14:paraId="1D24313D">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108" w:type="dxa"/>
            <w:tcBorders>
              <w:top w:val="nil"/>
              <w:left w:val="nil"/>
              <w:bottom w:val="single" w:color="auto" w:sz="4" w:space="0"/>
              <w:right w:val="single" w:color="auto" w:sz="4" w:space="0"/>
            </w:tcBorders>
            <w:noWrap w:val="0"/>
            <w:vAlign w:val="center"/>
          </w:tcPr>
          <w:p w14:paraId="327C1F80">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815" w:type="dxa"/>
            <w:tcBorders>
              <w:top w:val="nil"/>
              <w:left w:val="nil"/>
              <w:bottom w:val="single" w:color="auto" w:sz="4" w:space="0"/>
              <w:right w:val="single" w:color="auto" w:sz="4" w:space="0"/>
            </w:tcBorders>
            <w:noWrap w:val="0"/>
            <w:vAlign w:val="center"/>
          </w:tcPr>
          <w:p w14:paraId="2883A04C">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862" w:type="dxa"/>
            <w:tcBorders>
              <w:top w:val="nil"/>
              <w:left w:val="nil"/>
              <w:bottom w:val="single" w:color="auto" w:sz="4" w:space="0"/>
              <w:right w:val="single" w:color="auto" w:sz="4" w:space="0"/>
            </w:tcBorders>
            <w:noWrap w:val="0"/>
            <w:vAlign w:val="center"/>
          </w:tcPr>
          <w:p w14:paraId="18C40898">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373" w:type="dxa"/>
            <w:tcBorders>
              <w:top w:val="nil"/>
              <w:left w:val="nil"/>
              <w:bottom w:val="single" w:color="auto" w:sz="4" w:space="0"/>
              <w:right w:val="single" w:color="auto" w:sz="4" w:space="0"/>
            </w:tcBorders>
            <w:noWrap w:val="0"/>
            <w:vAlign w:val="center"/>
          </w:tcPr>
          <w:p w14:paraId="420B6491">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14:paraId="1CB29067">
        <w:tblPrEx>
          <w:tblCellMar>
            <w:top w:w="0" w:type="dxa"/>
            <w:left w:w="108" w:type="dxa"/>
            <w:bottom w:w="0" w:type="dxa"/>
            <w:right w:w="108" w:type="dxa"/>
          </w:tblCellMar>
        </w:tblPrEx>
        <w:trPr>
          <w:jc w:val="center"/>
        </w:trPr>
        <w:tc>
          <w:tcPr>
            <w:tcW w:w="1059" w:type="dxa"/>
            <w:vMerge w:val="continue"/>
            <w:tcBorders>
              <w:left w:val="single" w:color="auto" w:sz="4" w:space="0"/>
              <w:right w:val="single" w:color="auto" w:sz="4" w:space="0"/>
            </w:tcBorders>
            <w:noWrap w:val="0"/>
            <w:vAlign w:val="center"/>
          </w:tcPr>
          <w:p w14:paraId="7F5CEE10">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60" w:type="dxa"/>
            <w:vMerge w:val="continue"/>
            <w:tcBorders>
              <w:left w:val="nil"/>
              <w:right w:val="single" w:color="auto" w:sz="4" w:space="0"/>
            </w:tcBorders>
            <w:noWrap w:val="0"/>
            <w:vAlign w:val="center"/>
          </w:tcPr>
          <w:p w14:paraId="05793090">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50" w:type="dxa"/>
            <w:vMerge w:val="restart"/>
            <w:tcBorders>
              <w:top w:val="nil"/>
              <w:left w:val="nil"/>
              <w:right w:val="single" w:color="auto" w:sz="4" w:space="0"/>
            </w:tcBorders>
            <w:noWrap w:val="0"/>
            <w:vAlign w:val="center"/>
          </w:tcPr>
          <w:p w14:paraId="7B6B9759">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社会效</w:t>
            </w:r>
          </w:p>
          <w:p w14:paraId="0E22DF54">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益指标</w:t>
            </w:r>
          </w:p>
        </w:tc>
        <w:tc>
          <w:tcPr>
            <w:tcW w:w="1457" w:type="dxa"/>
            <w:tcBorders>
              <w:top w:val="nil"/>
              <w:left w:val="nil"/>
              <w:bottom w:val="single" w:color="auto" w:sz="4" w:space="0"/>
              <w:right w:val="single" w:color="auto" w:sz="4" w:space="0"/>
            </w:tcBorders>
            <w:shd w:val="clear" w:color="auto" w:fill="auto"/>
            <w:noWrap w:val="0"/>
            <w:vAlign w:val="center"/>
          </w:tcPr>
          <w:p w14:paraId="6D643FE6">
            <w:pPr>
              <w:widowControl/>
              <w:spacing w:line="240" w:lineRule="exact"/>
              <w:jc w:val="center"/>
              <w:rPr>
                <w:rFonts w:hint="eastAsia" w:ascii="仿宋" w:hAnsi="仿宋" w:eastAsia="仿宋" w:cs="仿宋"/>
                <w:color w:val="000000"/>
                <w:kern w:val="2"/>
                <w:sz w:val="20"/>
                <w:szCs w:val="20"/>
                <w:highlight w:val="none"/>
                <w:lang w:val="en-US" w:eastAsia="zh-CN" w:bidi="ar-SA"/>
              </w:rPr>
            </w:pPr>
            <w:r>
              <w:rPr>
                <w:rFonts w:hint="eastAsia" w:ascii="仿宋" w:hAnsi="仿宋" w:eastAsia="仿宋" w:cs="仿宋"/>
                <w:color w:val="000000"/>
                <w:sz w:val="20"/>
                <w:szCs w:val="20"/>
                <w:highlight w:val="none"/>
                <w:lang w:val="en-US" w:eastAsia="zh-CN"/>
              </w:rPr>
              <w:t>无偿献血宣传招募</w:t>
            </w:r>
          </w:p>
        </w:tc>
        <w:tc>
          <w:tcPr>
            <w:tcW w:w="1067" w:type="dxa"/>
            <w:tcBorders>
              <w:top w:val="nil"/>
              <w:left w:val="nil"/>
              <w:bottom w:val="single" w:color="auto" w:sz="4" w:space="0"/>
              <w:right w:val="single" w:color="auto" w:sz="4" w:space="0"/>
            </w:tcBorders>
            <w:shd w:val="clear" w:color="auto" w:fill="auto"/>
            <w:noWrap w:val="0"/>
            <w:vAlign w:val="center"/>
          </w:tcPr>
          <w:p w14:paraId="1A476087">
            <w:pPr>
              <w:widowControl/>
              <w:spacing w:line="240" w:lineRule="exact"/>
              <w:jc w:val="left"/>
              <w:rPr>
                <w:rFonts w:hint="eastAsia" w:ascii="仿宋" w:hAnsi="仿宋" w:eastAsia="仿宋" w:cs="仿宋"/>
                <w:color w:val="000000"/>
                <w:kern w:val="2"/>
                <w:sz w:val="20"/>
                <w:szCs w:val="20"/>
                <w:highlight w:val="none"/>
                <w:lang w:val="en-US" w:eastAsia="zh-CN" w:bidi="ar-SA"/>
              </w:rPr>
            </w:pPr>
            <w:r>
              <w:rPr>
                <w:rFonts w:hint="eastAsia" w:ascii="仿宋" w:hAnsi="仿宋" w:eastAsia="仿宋" w:cs="仿宋"/>
                <w:color w:val="000000"/>
                <w:sz w:val="20"/>
                <w:szCs w:val="20"/>
                <w:highlight w:val="none"/>
              </w:rPr>
              <w:t>　</w:t>
            </w:r>
            <w:r>
              <w:rPr>
                <w:rFonts w:hint="eastAsia" w:ascii="仿宋" w:hAnsi="仿宋" w:eastAsia="仿宋" w:cs="仿宋"/>
                <w:spacing w:val="0"/>
                <w:sz w:val="20"/>
                <w:szCs w:val="20"/>
                <w:lang w:val="en-US" w:eastAsia="zh-CN"/>
              </w:rPr>
              <w:t>提高无偿献血知晓率</w:t>
            </w:r>
          </w:p>
        </w:tc>
        <w:tc>
          <w:tcPr>
            <w:tcW w:w="1108" w:type="dxa"/>
            <w:tcBorders>
              <w:top w:val="nil"/>
              <w:left w:val="nil"/>
              <w:bottom w:val="single" w:color="auto" w:sz="4" w:space="0"/>
              <w:right w:val="single" w:color="auto" w:sz="4" w:space="0"/>
            </w:tcBorders>
            <w:shd w:val="clear" w:color="auto" w:fill="auto"/>
            <w:noWrap w:val="0"/>
            <w:vAlign w:val="center"/>
          </w:tcPr>
          <w:p w14:paraId="76017BB6">
            <w:pPr>
              <w:widowControl/>
              <w:spacing w:line="240" w:lineRule="exact"/>
              <w:jc w:val="left"/>
              <w:rPr>
                <w:rFonts w:hint="eastAsia" w:ascii="仿宋" w:hAnsi="仿宋" w:eastAsia="仿宋" w:cs="仿宋"/>
                <w:color w:val="000000"/>
                <w:kern w:val="2"/>
                <w:sz w:val="20"/>
                <w:szCs w:val="20"/>
                <w:highlight w:val="none"/>
                <w:lang w:val="en-US" w:eastAsia="zh-CN" w:bidi="ar-SA"/>
              </w:rPr>
            </w:pPr>
            <w:r>
              <w:rPr>
                <w:rFonts w:hint="eastAsia" w:ascii="仿宋" w:hAnsi="仿宋" w:eastAsia="仿宋" w:cs="仿宋"/>
                <w:color w:val="000000"/>
                <w:sz w:val="20"/>
                <w:szCs w:val="20"/>
                <w:highlight w:val="none"/>
              </w:rPr>
              <w:t>　</w:t>
            </w:r>
            <w:r>
              <w:rPr>
                <w:rFonts w:hint="eastAsia" w:ascii="仿宋" w:hAnsi="仿宋" w:eastAsia="仿宋" w:cs="仿宋"/>
                <w:color w:val="auto"/>
                <w:sz w:val="20"/>
                <w:szCs w:val="20"/>
                <w:lang w:val="en-US" w:eastAsia="zh-CN"/>
              </w:rPr>
              <w:t>提高无偿献血知晓率，提高公民献血意识，营造良好的社会氛围</w:t>
            </w:r>
          </w:p>
        </w:tc>
        <w:tc>
          <w:tcPr>
            <w:tcW w:w="815" w:type="dxa"/>
            <w:tcBorders>
              <w:top w:val="nil"/>
              <w:left w:val="nil"/>
              <w:bottom w:val="single" w:color="auto" w:sz="4" w:space="0"/>
              <w:right w:val="single" w:color="auto" w:sz="4" w:space="0"/>
            </w:tcBorders>
            <w:shd w:val="clear" w:color="auto" w:fill="auto"/>
            <w:noWrap w:val="0"/>
            <w:vAlign w:val="center"/>
          </w:tcPr>
          <w:p w14:paraId="0F615A73">
            <w:pPr>
              <w:widowControl/>
              <w:spacing w:line="240" w:lineRule="exact"/>
              <w:jc w:val="left"/>
              <w:rPr>
                <w:rFonts w:hint="eastAsia" w:ascii="仿宋" w:hAnsi="仿宋" w:eastAsia="仿宋" w:cs="仿宋"/>
                <w:color w:val="000000"/>
                <w:kern w:val="2"/>
                <w:sz w:val="20"/>
                <w:szCs w:val="20"/>
                <w:highlight w:val="none"/>
                <w:lang w:val="en-US" w:eastAsia="zh-CN" w:bidi="ar-SA"/>
              </w:rPr>
            </w:pPr>
            <w:r>
              <w:rPr>
                <w:rFonts w:hint="eastAsia" w:ascii="仿宋" w:hAnsi="仿宋" w:eastAsia="仿宋" w:cs="仿宋"/>
                <w:color w:val="000000"/>
                <w:sz w:val="20"/>
                <w:szCs w:val="20"/>
                <w:highlight w:val="none"/>
              </w:rPr>
              <w:t>　</w:t>
            </w:r>
            <w:r>
              <w:rPr>
                <w:rFonts w:hint="eastAsia" w:ascii="仿宋" w:hAnsi="仿宋" w:eastAsia="仿宋" w:cs="仿宋"/>
                <w:color w:val="000000"/>
                <w:sz w:val="20"/>
                <w:szCs w:val="20"/>
                <w:highlight w:val="none"/>
                <w:lang w:val="en-US" w:eastAsia="zh-CN"/>
              </w:rPr>
              <w:t>5</w:t>
            </w:r>
          </w:p>
        </w:tc>
        <w:tc>
          <w:tcPr>
            <w:tcW w:w="862" w:type="dxa"/>
            <w:tcBorders>
              <w:top w:val="nil"/>
              <w:left w:val="nil"/>
              <w:bottom w:val="single" w:color="auto" w:sz="4" w:space="0"/>
              <w:right w:val="single" w:color="auto" w:sz="4" w:space="0"/>
            </w:tcBorders>
            <w:shd w:val="clear" w:color="auto" w:fill="auto"/>
            <w:noWrap w:val="0"/>
            <w:vAlign w:val="center"/>
          </w:tcPr>
          <w:p w14:paraId="4307BD43">
            <w:pPr>
              <w:widowControl/>
              <w:spacing w:line="240" w:lineRule="exact"/>
              <w:jc w:val="left"/>
              <w:rPr>
                <w:rFonts w:hint="eastAsia" w:ascii="仿宋" w:hAnsi="仿宋" w:eastAsia="仿宋" w:cs="仿宋"/>
                <w:color w:val="000000"/>
                <w:kern w:val="2"/>
                <w:sz w:val="20"/>
                <w:szCs w:val="20"/>
                <w:highlight w:val="none"/>
                <w:lang w:val="en-US" w:eastAsia="zh-CN" w:bidi="ar-SA"/>
              </w:rPr>
            </w:pPr>
            <w:r>
              <w:rPr>
                <w:rFonts w:hint="eastAsia" w:ascii="仿宋" w:hAnsi="仿宋" w:eastAsia="仿宋" w:cs="仿宋"/>
                <w:color w:val="000000"/>
                <w:sz w:val="20"/>
                <w:szCs w:val="20"/>
                <w:highlight w:val="none"/>
              </w:rPr>
              <w:t>　</w:t>
            </w:r>
            <w:r>
              <w:rPr>
                <w:rFonts w:hint="eastAsia" w:ascii="仿宋" w:hAnsi="仿宋" w:eastAsia="仿宋" w:cs="仿宋"/>
                <w:color w:val="000000"/>
                <w:sz w:val="20"/>
                <w:szCs w:val="20"/>
                <w:highlight w:val="none"/>
                <w:lang w:val="en-US" w:eastAsia="zh-CN"/>
              </w:rPr>
              <w:t>4</w:t>
            </w:r>
          </w:p>
        </w:tc>
        <w:tc>
          <w:tcPr>
            <w:tcW w:w="1373" w:type="dxa"/>
            <w:tcBorders>
              <w:top w:val="nil"/>
              <w:left w:val="nil"/>
              <w:bottom w:val="single" w:color="auto" w:sz="4" w:space="0"/>
              <w:right w:val="single" w:color="auto" w:sz="4" w:space="0"/>
            </w:tcBorders>
            <w:noWrap w:val="0"/>
            <w:vAlign w:val="center"/>
          </w:tcPr>
          <w:p w14:paraId="52675C7C">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14:paraId="6CDCA4EB">
        <w:tblPrEx>
          <w:tblCellMar>
            <w:top w:w="0" w:type="dxa"/>
            <w:left w:w="108" w:type="dxa"/>
            <w:bottom w:w="0" w:type="dxa"/>
            <w:right w:w="108" w:type="dxa"/>
          </w:tblCellMar>
        </w:tblPrEx>
        <w:trPr>
          <w:jc w:val="center"/>
        </w:trPr>
        <w:tc>
          <w:tcPr>
            <w:tcW w:w="1059" w:type="dxa"/>
            <w:vMerge w:val="continue"/>
            <w:tcBorders>
              <w:left w:val="single" w:color="auto" w:sz="4" w:space="0"/>
              <w:right w:val="single" w:color="auto" w:sz="4" w:space="0"/>
            </w:tcBorders>
            <w:noWrap w:val="0"/>
            <w:vAlign w:val="center"/>
          </w:tcPr>
          <w:p w14:paraId="075760D1">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60" w:type="dxa"/>
            <w:vMerge w:val="continue"/>
            <w:tcBorders>
              <w:left w:val="nil"/>
              <w:right w:val="single" w:color="auto" w:sz="4" w:space="0"/>
            </w:tcBorders>
            <w:noWrap w:val="0"/>
            <w:vAlign w:val="center"/>
          </w:tcPr>
          <w:p w14:paraId="60E49766">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50" w:type="dxa"/>
            <w:vMerge w:val="continue"/>
            <w:tcBorders>
              <w:left w:val="nil"/>
              <w:right w:val="single" w:color="auto" w:sz="4" w:space="0"/>
            </w:tcBorders>
            <w:noWrap w:val="0"/>
            <w:vAlign w:val="center"/>
          </w:tcPr>
          <w:p w14:paraId="2D2CB7C5">
            <w:pPr>
              <w:keepNext w:val="0"/>
              <w:keepLines w:val="0"/>
              <w:pageBreakBefore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c>
          <w:tcPr>
            <w:tcW w:w="1457" w:type="dxa"/>
            <w:tcBorders>
              <w:top w:val="nil"/>
              <w:left w:val="nil"/>
              <w:bottom w:val="single" w:color="auto" w:sz="4" w:space="0"/>
              <w:right w:val="single" w:color="auto" w:sz="4" w:space="0"/>
            </w:tcBorders>
            <w:shd w:val="clear" w:color="auto" w:fill="auto"/>
            <w:noWrap w:val="0"/>
            <w:vAlign w:val="center"/>
          </w:tcPr>
          <w:p w14:paraId="1D1619D8">
            <w:pPr>
              <w:widowControl/>
              <w:spacing w:line="240" w:lineRule="exact"/>
              <w:jc w:val="center"/>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auto"/>
                <w:sz w:val="20"/>
                <w:szCs w:val="20"/>
                <w:lang w:val="en-US" w:eastAsia="zh-CN"/>
              </w:rPr>
              <w:t>控制艾滋病等传染病经血液传播</w:t>
            </w:r>
          </w:p>
        </w:tc>
        <w:tc>
          <w:tcPr>
            <w:tcW w:w="1067" w:type="dxa"/>
            <w:tcBorders>
              <w:top w:val="nil"/>
              <w:left w:val="nil"/>
              <w:bottom w:val="single" w:color="auto" w:sz="4" w:space="0"/>
              <w:right w:val="single" w:color="auto" w:sz="4" w:space="0"/>
            </w:tcBorders>
            <w:shd w:val="clear" w:color="auto" w:fill="auto"/>
            <w:noWrap w:val="0"/>
            <w:vAlign w:val="center"/>
          </w:tcPr>
          <w:p w14:paraId="2F5026FC">
            <w:pPr>
              <w:widowControl/>
              <w:spacing w:line="240" w:lineRule="exact"/>
              <w:jc w:val="left"/>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auto"/>
                <w:sz w:val="20"/>
                <w:szCs w:val="20"/>
                <w:lang w:val="en-US" w:eastAsia="zh-CN"/>
              </w:rPr>
              <w:t>得到有效控制</w:t>
            </w:r>
          </w:p>
        </w:tc>
        <w:tc>
          <w:tcPr>
            <w:tcW w:w="1108" w:type="dxa"/>
            <w:tcBorders>
              <w:top w:val="nil"/>
              <w:left w:val="nil"/>
              <w:bottom w:val="single" w:color="auto" w:sz="4" w:space="0"/>
              <w:right w:val="single" w:color="auto" w:sz="4" w:space="0"/>
            </w:tcBorders>
            <w:shd w:val="clear" w:color="auto" w:fill="auto"/>
            <w:noWrap w:val="0"/>
            <w:vAlign w:val="center"/>
          </w:tcPr>
          <w:p w14:paraId="6BF6BF77">
            <w:pPr>
              <w:widowControl/>
              <w:spacing w:line="240" w:lineRule="exact"/>
              <w:jc w:val="left"/>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rPr>
              <w:t>　</w:t>
            </w:r>
            <w:r>
              <w:rPr>
                <w:rFonts w:hint="eastAsia" w:ascii="仿宋_GB2312" w:hAnsi="仿宋_GB2312" w:eastAsia="仿宋_GB2312" w:cs="仿宋_GB2312"/>
                <w:color w:val="auto"/>
                <w:sz w:val="20"/>
                <w:szCs w:val="20"/>
                <w:lang w:val="en-US" w:eastAsia="zh-CN"/>
              </w:rPr>
              <w:t>提高血液检测质量，确保临床用血安全，维护社会稳定</w:t>
            </w:r>
          </w:p>
        </w:tc>
        <w:tc>
          <w:tcPr>
            <w:tcW w:w="815" w:type="dxa"/>
            <w:tcBorders>
              <w:top w:val="nil"/>
              <w:left w:val="nil"/>
              <w:bottom w:val="single" w:color="auto" w:sz="4" w:space="0"/>
              <w:right w:val="single" w:color="auto" w:sz="4" w:space="0"/>
            </w:tcBorders>
            <w:shd w:val="clear" w:color="auto" w:fill="auto"/>
            <w:noWrap w:val="0"/>
            <w:vAlign w:val="center"/>
          </w:tcPr>
          <w:p w14:paraId="0098F6F7">
            <w:pPr>
              <w:widowControl/>
              <w:spacing w:line="240" w:lineRule="exact"/>
              <w:jc w:val="left"/>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rPr>
              <w:t>　</w:t>
            </w:r>
            <w:r>
              <w:rPr>
                <w:rFonts w:hint="eastAsia" w:ascii="仿宋_GB2312" w:hAnsi="仿宋_GB2312" w:eastAsia="仿宋_GB2312" w:cs="仿宋_GB2312"/>
                <w:color w:val="000000"/>
                <w:sz w:val="20"/>
                <w:szCs w:val="20"/>
                <w:highlight w:val="none"/>
                <w:lang w:val="en-US" w:eastAsia="zh-CN"/>
              </w:rPr>
              <w:t>5</w:t>
            </w:r>
          </w:p>
        </w:tc>
        <w:tc>
          <w:tcPr>
            <w:tcW w:w="862" w:type="dxa"/>
            <w:tcBorders>
              <w:top w:val="nil"/>
              <w:left w:val="nil"/>
              <w:bottom w:val="single" w:color="auto" w:sz="4" w:space="0"/>
              <w:right w:val="single" w:color="auto" w:sz="4" w:space="0"/>
            </w:tcBorders>
            <w:shd w:val="clear" w:color="auto" w:fill="auto"/>
            <w:noWrap w:val="0"/>
            <w:vAlign w:val="center"/>
          </w:tcPr>
          <w:p w14:paraId="46FFA5C2">
            <w:pPr>
              <w:widowControl/>
              <w:spacing w:line="240" w:lineRule="exact"/>
              <w:jc w:val="left"/>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rPr>
              <w:t>　</w:t>
            </w:r>
            <w:r>
              <w:rPr>
                <w:rFonts w:hint="eastAsia" w:ascii="仿宋_GB2312" w:hAnsi="仿宋_GB2312" w:eastAsia="仿宋_GB2312" w:cs="仿宋_GB2312"/>
                <w:color w:val="000000"/>
                <w:sz w:val="20"/>
                <w:szCs w:val="20"/>
                <w:highlight w:val="none"/>
                <w:lang w:val="en-US" w:eastAsia="zh-CN"/>
              </w:rPr>
              <w:t>5</w:t>
            </w:r>
          </w:p>
        </w:tc>
        <w:tc>
          <w:tcPr>
            <w:tcW w:w="1373" w:type="dxa"/>
            <w:tcBorders>
              <w:top w:val="nil"/>
              <w:left w:val="nil"/>
              <w:bottom w:val="single" w:color="auto" w:sz="4" w:space="0"/>
              <w:right w:val="single" w:color="auto" w:sz="4" w:space="0"/>
            </w:tcBorders>
            <w:noWrap w:val="0"/>
            <w:vAlign w:val="center"/>
          </w:tcPr>
          <w:p w14:paraId="50BD5E6A">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14:paraId="635A5879">
        <w:tblPrEx>
          <w:tblCellMar>
            <w:top w:w="0" w:type="dxa"/>
            <w:left w:w="108" w:type="dxa"/>
            <w:bottom w:w="0" w:type="dxa"/>
            <w:right w:w="108" w:type="dxa"/>
          </w:tblCellMar>
        </w:tblPrEx>
        <w:trPr>
          <w:jc w:val="center"/>
        </w:trPr>
        <w:tc>
          <w:tcPr>
            <w:tcW w:w="1059" w:type="dxa"/>
            <w:vMerge w:val="continue"/>
            <w:tcBorders>
              <w:left w:val="single" w:color="auto" w:sz="4" w:space="0"/>
              <w:right w:val="single" w:color="auto" w:sz="4" w:space="0"/>
            </w:tcBorders>
            <w:noWrap w:val="0"/>
            <w:vAlign w:val="center"/>
          </w:tcPr>
          <w:p w14:paraId="428B3CC6">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60" w:type="dxa"/>
            <w:vMerge w:val="continue"/>
            <w:tcBorders>
              <w:left w:val="nil"/>
              <w:right w:val="single" w:color="auto" w:sz="4" w:space="0"/>
            </w:tcBorders>
            <w:noWrap w:val="0"/>
            <w:vAlign w:val="center"/>
          </w:tcPr>
          <w:p w14:paraId="64F85C66">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50" w:type="dxa"/>
            <w:vMerge w:val="continue"/>
            <w:tcBorders>
              <w:left w:val="nil"/>
              <w:bottom w:val="single" w:color="auto" w:sz="4" w:space="0"/>
              <w:right w:val="single" w:color="auto" w:sz="4" w:space="0"/>
            </w:tcBorders>
            <w:noWrap w:val="0"/>
            <w:vAlign w:val="center"/>
          </w:tcPr>
          <w:p w14:paraId="3458E10C">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c>
          <w:tcPr>
            <w:tcW w:w="1457" w:type="dxa"/>
            <w:tcBorders>
              <w:top w:val="nil"/>
              <w:left w:val="nil"/>
              <w:bottom w:val="single" w:color="auto" w:sz="4" w:space="0"/>
              <w:right w:val="single" w:color="auto" w:sz="4" w:space="0"/>
            </w:tcBorders>
            <w:noWrap w:val="0"/>
            <w:vAlign w:val="center"/>
          </w:tcPr>
          <w:p w14:paraId="2816F160">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w:t>
            </w:r>
          </w:p>
        </w:tc>
        <w:tc>
          <w:tcPr>
            <w:tcW w:w="1067" w:type="dxa"/>
            <w:tcBorders>
              <w:top w:val="nil"/>
              <w:left w:val="nil"/>
              <w:bottom w:val="single" w:color="auto" w:sz="4" w:space="0"/>
              <w:right w:val="single" w:color="auto" w:sz="4" w:space="0"/>
            </w:tcBorders>
            <w:noWrap w:val="0"/>
            <w:vAlign w:val="center"/>
          </w:tcPr>
          <w:p w14:paraId="6F1C8FED">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108" w:type="dxa"/>
            <w:tcBorders>
              <w:top w:val="nil"/>
              <w:left w:val="nil"/>
              <w:bottom w:val="single" w:color="auto" w:sz="4" w:space="0"/>
              <w:right w:val="single" w:color="auto" w:sz="4" w:space="0"/>
            </w:tcBorders>
            <w:noWrap w:val="0"/>
            <w:vAlign w:val="center"/>
          </w:tcPr>
          <w:p w14:paraId="02B96DDB">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815" w:type="dxa"/>
            <w:tcBorders>
              <w:top w:val="nil"/>
              <w:left w:val="nil"/>
              <w:bottom w:val="single" w:color="auto" w:sz="4" w:space="0"/>
              <w:right w:val="single" w:color="auto" w:sz="4" w:space="0"/>
            </w:tcBorders>
            <w:noWrap w:val="0"/>
            <w:vAlign w:val="center"/>
          </w:tcPr>
          <w:p w14:paraId="6B6D6B81">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862" w:type="dxa"/>
            <w:tcBorders>
              <w:top w:val="nil"/>
              <w:left w:val="nil"/>
              <w:bottom w:val="single" w:color="auto" w:sz="4" w:space="0"/>
              <w:right w:val="single" w:color="auto" w:sz="4" w:space="0"/>
            </w:tcBorders>
            <w:noWrap w:val="0"/>
            <w:vAlign w:val="center"/>
          </w:tcPr>
          <w:p w14:paraId="258D2368">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373" w:type="dxa"/>
            <w:tcBorders>
              <w:top w:val="nil"/>
              <w:left w:val="nil"/>
              <w:bottom w:val="single" w:color="auto" w:sz="4" w:space="0"/>
              <w:right w:val="single" w:color="auto" w:sz="4" w:space="0"/>
            </w:tcBorders>
            <w:noWrap w:val="0"/>
            <w:vAlign w:val="center"/>
          </w:tcPr>
          <w:p w14:paraId="0AC133C6">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14:paraId="58670717">
        <w:tblPrEx>
          <w:tblCellMar>
            <w:top w:w="0" w:type="dxa"/>
            <w:left w:w="108" w:type="dxa"/>
            <w:bottom w:w="0" w:type="dxa"/>
            <w:right w:w="108" w:type="dxa"/>
          </w:tblCellMar>
        </w:tblPrEx>
        <w:trPr>
          <w:jc w:val="center"/>
        </w:trPr>
        <w:tc>
          <w:tcPr>
            <w:tcW w:w="1059" w:type="dxa"/>
            <w:vMerge w:val="continue"/>
            <w:tcBorders>
              <w:left w:val="single" w:color="auto" w:sz="4" w:space="0"/>
              <w:right w:val="single" w:color="auto" w:sz="4" w:space="0"/>
            </w:tcBorders>
            <w:noWrap w:val="0"/>
            <w:vAlign w:val="center"/>
          </w:tcPr>
          <w:p w14:paraId="0895986E">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60" w:type="dxa"/>
            <w:vMerge w:val="continue"/>
            <w:tcBorders>
              <w:left w:val="nil"/>
              <w:right w:val="single" w:color="auto" w:sz="4" w:space="0"/>
            </w:tcBorders>
            <w:noWrap w:val="0"/>
            <w:vAlign w:val="center"/>
          </w:tcPr>
          <w:p w14:paraId="4C81A18E">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50" w:type="dxa"/>
            <w:vMerge w:val="restart"/>
            <w:tcBorders>
              <w:top w:val="nil"/>
              <w:left w:val="nil"/>
              <w:right w:val="single" w:color="auto" w:sz="4" w:space="0"/>
            </w:tcBorders>
            <w:noWrap w:val="0"/>
            <w:vAlign w:val="center"/>
          </w:tcPr>
          <w:p w14:paraId="66301B1A">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生态效</w:t>
            </w:r>
          </w:p>
          <w:p w14:paraId="7A6D3233">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益指标</w:t>
            </w:r>
          </w:p>
        </w:tc>
        <w:tc>
          <w:tcPr>
            <w:tcW w:w="1457" w:type="dxa"/>
            <w:tcBorders>
              <w:top w:val="nil"/>
              <w:left w:val="nil"/>
              <w:bottom w:val="single" w:color="auto" w:sz="4" w:space="0"/>
              <w:right w:val="single" w:color="auto" w:sz="4" w:space="0"/>
            </w:tcBorders>
            <w:shd w:val="clear" w:color="auto" w:fill="auto"/>
            <w:noWrap w:val="0"/>
            <w:vAlign w:val="center"/>
          </w:tcPr>
          <w:p w14:paraId="79F6E1DA">
            <w:pPr>
              <w:widowControl/>
              <w:spacing w:line="240" w:lineRule="exact"/>
              <w:jc w:val="center"/>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auto"/>
                <w:sz w:val="20"/>
                <w:szCs w:val="20"/>
                <w:lang w:val="en-US" w:eastAsia="zh-CN"/>
              </w:rPr>
              <w:t>对自然环境造成的影响</w:t>
            </w:r>
          </w:p>
        </w:tc>
        <w:tc>
          <w:tcPr>
            <w:tcW w:w="1067" w:type="dxa"/>
            <w:tcBorders>
              <w:top w:val="nil"/>
              <w:left w:val="nil"/>
              <w:bottom w:val="single" w:color="auto" w:sz="4" w:space="0"/>
              <w:right w:val="single" w:color="auto" w:sz="4" w:space="0"/>
            </w:tcBorders>
            <w:shd w:val="clear" w:color="auto" w:fill="auto"/>
            <w:noWrap w:val="0"/>
            <w:vAlign w:val="center"/>
          </w:tcPr>
          <w:p w14:paraId="6053845F">
            <w:pPr>
              <w:widowControl/>
              <w:spacing w:line="240" w:lineRule="exact"/>
              <w:jc w:val="left"/>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rPr>
              <w:t>　</w:t>
            </w:r>
            <w:r>
              <w:rPr>
                <w:rFonts w:hint="eastAsia" w:ascii="仿宋_GB2312" w:hAnsi="仿宋_GB2312" w:eastAsia="仿宋_GB2312" w:cs="仿宋_GB2312"/>
                <w:color w:val="auto"/>
                <w:sz w:val="20"/>
                <w:szCs w:val="20"/>
                <w:lang w:val="en-US" w:eastAsia="zh-CN"/>
              </w:rPr>
              <w:t>对自然环境无不良影响</w:t>
            </w:r>
          </w:p>
        </w:tc>
        <w:tc>
          <w:tcPr>
            <w:tcW w:w="1108" w:type="dxa"/>
            <w:tcBorders>
              <w:top w:val="nil"/>
              <w:left w:val="nil"/>
              <w:bottom w:val="single" w:color="auto" w:sz="4" w:space="0"/>
              <w:right w:val="single" w:color="auto" w:sz="4" w:space="0"/>
            </w:tcBorders>
            <w:shd w:val="clear" w:color="auto" w:fill="auto"/>
            <w:noWrap w:val="0"/>
            <w:vAlign w:val="center"/>
          </w:tcPr>
          <w:p w14:paraId="46B17FEA">
            <w:pPr>
              <w:widowControl/>
              <w:spacing w:line="240" w:lineRule="exact"/>
              <w:jc w:val="left"/>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rPr>
              <w:t>　</w:t>
            </w:r>
            <w:r>
              <w:rPr>
                <w:rFonts w:hint="eastAsia" w:ascii="仿宋_GB2312" w:hAnsi="仿宋_GB2312" w:eastAsia="仿宋_GB2312" w:cs="仿宋_GB2312"/>
                <w:color w:val="auto"/>
                <w:sz w:val="20"/>
                <w:szCs w:val="20"/>
                <w:lang w:val="en-US" w:eastAsia="zh-CN"/>
              </w:rPr>
              <w:t>采供血医疗废弃物按标准操作处理，对自然环境无不良影响</w:t>
            </w:r>
          </w:p>
        </w:tc>
        <w:tc>
          <w:tcPr>
            <w:tcW w:w="815" w:type="dxa"/>
            <w:tcBorders>
              <w:top w:val="nil"/>
              <w:left w:val="nil"/>
              <w:bottom w:val="single" w:color="auto" w:sz="4" w:space="0"/>
              <w:right w:val="single" w:color="auto" w:sz="4" w:space="0"/>
            </w:tcBorders>
            <w:noWrap w:val="0"/>
            <w:vAlign w:val="center"/>
          </w:tcPr>
          <w:p w14:paraId="4E972E65">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　</w:t>
            </w:r>
            <w:r>
              <w:rPr>
                <w:rFonts w:hint="eastAsia" w:ascii="仿宋_GB2312" w:hAnsi="仿宋_GB2312" w:eastAsia="仿宋_GB2312" w:cs="仿宋_GB2312"/>
                <w:color w:val="000000"/>
                <w:sz w:val="20"/>
                <w:szCs w:val="20"/>
                <w:highlight w:val="none"/>
                <w:lang w:val="en-US" w:eastAsia="zh-CN"/>
              </w:rPr>
              <w:t>5</w:t>
            </w:r>
          </w:p>
        </w:tc>
        <w:tc>
          <w:tcPr>
            <w:tcW w:w="862" w:type="dxa"/>
            <w:tcBorders>
              <w:top w:val="nil"/>
              <w:left w:val="nil"/>
              <w:bottom w:val="single" w:color="auto" w:sz="4" w:space="0"/>
              <w:right w:val="single" w:color="auto" w:sz="4" w:space="0"/>
            </w:tcBorders>
            <w:noWrap w:val="0"/>
            <w:vAlign w:val="center"/>
          </w:tcPr>
          <w:p w14:paraId="7AF17347">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　</w:t>
            </w:r>
            <w:r>
              <w:rPr>
                <w:rFonts w:hint="eastAsia" w:ascii="仿宋_GB2312" w:hAnsi="仿宋_GB2312" w:eastAsia="仿宋_GB2312" w:cs="仿宋_GB2312"/>
                <w:color w:val="000000"/>
                <w:sz w:val="20"/>
                <w:szCs w:val="20"/>
                <w:highlight w:val="none"/>
                <w:lang w:val="en-US" w:eastAsia="zh-CN"/>
              </w:rPr>
              <w:t>5</w:t>
            </w:r>
          </w:p>
        </w:tc>
        <w:tc>
          <w:tcPr>
            <w:tcW w:w="1373" w:type="dxa"/>
            <w:tcBorders>
              <w:top w:val="nil"/>
              <w:left w:val="nil"/>
              <w:bottom w:val="single" w:color="auto" w:sz="4" w:space="0"/>
              <w:right w:val="single" w:color="auto" w:sz="4" w:space="0"/>
            </w:tcBorders>
            <w:noWrap w:val="0"/>
            <w:vAlign w:val="center"/>
          </w:tcPr>
          <w:p w14:paraId="1867C334">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14:paraId="3F690D4B">
        <w:tblPrEx>
          <w:tblCellMar>
            <w:top w:w="0" w:type="dxa"/>
            <w:left w:w="108" w:type="dxa"/>
            <w:bottom w:w="0" w:type="dxa"/>
            <w:right w:w="108" w:type="dxa"/>
          </w:tblCellMar>
        </w:tblPrEx>
        <w:trPr>
          <w:trHeight w:val="253" w:hRule="atLeast"/>
          <w:jc w:val="center"/>
        </w:trPr>
        <w:tc>
          <w:tcPr>
            <w:tcW w:w="1059" w:type="dxa"/>
            <w:vMerge w:val="continue"/>
            <w:tcBorders>
              <w:left w:val="single" w:color="auto" w:sz="4" w:space="0"/>
              <w:right w:val="single" w:color="auto" w:sz="4" w:space="0"/>
            </w:tcBorders>
            <w:noWrap w:val="0"/>
            <w:vAlign w:val="center"/>
          </w:tcPr>
          <w:p w14:paraId="0B3BA056">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60" w:type="dxa"/>
            <w:vMerge w:val="continue"/>
            <w:tcBorders>
              <w:left w:val="nil"/>
              <w:right w:val="single" w:color="auto" w:sz="4" w:space="0"/>
            </w:tcBorders>
            <w:noWrap w:val="0"/>
            <w:vAlign w:val="center"/>
          </w:tcPr>
          <w:p w14:paraId="2042BB8E">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50" w:type="dxa"/>
            <w:vMerge w:val="continue"/>
            <w:tcBorders>
              <w:left w:val="nil"/>
              <w:right w:val="single" w:color="auto" w:sz="4" w:space="0"/>
            </w:tcBorders>
            <w:noWrap w:val="0"/>
            <w:vAlign w:val="center"/>
          </w:tcPr>
          <w:p w14:paraId="23C4370A">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457" w:type="dxa"/>
            <w:tcBorders>
              <w:top w:val="nil"/>
              <w:left w:val="nil"/>
              <w:bottom w:val="single" w:color="auto" w:sz="4" w:space="0"/>
              <w:right w:val="single" w:color="auto" w:sz="4" w:space="0"/>
            </w:tcBorders>
            <w:noWrap w:val="0"/>
            <w:vAlign w:val="center"/>
          </w:tcPr>
          <w:p w14:paraId="415CD2BA">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67" w:type="dxa"/>
            <w:tcBorders>
              <w:top w:val="nil"/>
              <w:left w:val="nil"/>
              <w:bottom w:val="single" w:color="auto" w:sz="4" w:space="0"/>
              <w:right w:val="single" w:color="auto" w:sz="4" w:space="0"/>
            </w:tcBorders>
            <w:noWrap w:val="0"/>
            <w:vAlign w:val="center"/>
          </w:tcPr>
          <w:p w14:paraId="4C67347D">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108" w:type="dxa"/>
            <w:tcBorders>
              <w:top w:val="nil"/>
              <w:left w:val="nil"/>
              <w:bottom w:val="single" w:color="auto" w:sz="4" w:space="0"/>
              <w:right w:val="single" w:color="auto" w:sz="4" w:space="0"/>
            </w:tcBorders>
            <w:noWrap w:val="0"/>
            <w:vAlign w:val="center"/>
          </w:tcPr>
          <w:p w14:paraId="3AEDFDEE">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815" w:type="dxa"/>
            <w:tcBorders>
              <w:top w:val="nil"/>
              <w:left w:val="nil"/>
              <w:bottom w:val="single" w:color="auto" w:sz="4" w:space="0"/>
              <w:right w:val="single" w:color="auto" w:sz="4" w:space="0"/>
            </w:tcBorders>
            <w:noWrap w:val="0"/>
            <w:vAlign w:val="center"/>
          </w:tcPr>
          <w:p w14:paraId="77B1301C">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862" w:type="dxa"/>
            <w:tcBorders>
              <w:top w:val="nil"/>
              <w:left w:val="nil"/>
              <w:bottom w:val="single" w:color="auto" w:sz="4" w:space="0"/>
              <w:right w:val="single" w:color="auto" w:sz="4" w:space="0"/>
            </w:tcBorders>
            <w:noWrap w:val="0"/>
            <w:vAlign w:val="center"/>
          </w:tcPr>
          <w:p w14:paraId="20EEDB76">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373" w:type="dxa"/>
            <w:tcBorders>
              <w:top w:val="nil"/>
              <w:left w:val="nil"/>
              <w:bottom w:val="single" w:color="auto" w:sz="4" w:space="0"/>
              <w:right w:val="single" w:color="auto" w:sz="4" w:space="0"/>
            </w:tcBorders>
            <w:noWrap w:val="0"/>
            <w:vAlign w:val="center"/>
          </w:tcPr>
          <w:p w14:paraId="1D80C390">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14:paraId="13B72EA1">
        <w:tblPrEx>
          <w:tblCellMar>
            <w:top w:w="0" w:type="dxa"/>
            <w:left w:w="108" w:type="dxa"/>
            <w:bottom w:w="0" w:type="dxa"/>
            <w:right w:w="108" w:type="dxa"/>
          </w:tblCellMar>
        </w:tblPrEx>
        <w:trPr>
          <w:jc w:val="center"/>
        </w:trPr>
        <w:tc>
          <w:tcPr>
            <w:tcW w:w="1059" w:type="dxa"/>
            <w:vMerge w:val="continue"/>
            <w:tcBorders>
              <w:left w:val="single" w:color="auto" w:sz="4" w:space="0"/>
              <w:right w:val="single" w:color="auto" w:sz="4" w:space="0"/>
            </w:tcBorders>
            <w:noWrap w:val="0"/>
            <w:vAlign w:val="center"/>
          </w:tcPr>
          <w:p w14:paraId="655812B4">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60" w:type="dxa"/>
            <w:vMerge w:val="continue"/>
            <w:tcBorders>
              <w:left w:val="nil"/>
              <w:right w:val="single" w:color="auto" w:sz="4" w:space="0"/>
            </w:tcBorders>
            <w:noWrap w:val="0"/>
            <w:vAlign w:val="center"/>
          </w:tcPr>
          <w:p w14:paraId="1825B552">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50" w:type="dxa"/>
            <w:vMerge w:val="continue"/>
            <w:tcBorders>
              <w:left w:val="nil"/>
              <w:bottom w:val="single" w:color="auto" w:sz="4" w:space="0"/>
              <w:right w:val="single" w:color="auto" w:sz="4" w:space="0"/>
            </w:tcBorders>
            <w:noWrap w:val="0"/>
            <w:vAlign w:val="center"/>
          </w:tcPr>
          <w:p w14:paraId="60E5766C">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457" w:type="dxa"/>
            <w:tcBorders>
              <w:top w:val="nil"/>
              <w:left w:val="nil"/>
              <w:bottom w:val="single" w:color="auto" w:sz="4" w:space="0"/>
              <w:right w:val="single" w:color="auto" w:sz="4" w:space="0"/>
            </w:tcBorders>
            <w:noWrap w:val="0"/>
            <w:vAlign w:val="center"/>
          </w:tcPr>
          <w:p w14:paraId="6F8F3B9D">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w:t>
            </w:r>
          </w:p>
        </w:tc>
        <w:tc>
          <w:tcPr>
            <w:tcW w:w="1067" w:type="dxa"/>
            <w:tcBorders>
              <w:top w:val="nil"/>
              <w:left w:val="nil"/>
              <w:bottom w:val="single" w:color="auto" w:sz="4" w:space="0"/>
              <w:right w:val="single" w:color="auto" w:sz="4" w:space="0"/>
            </w:tcBorders>
            <w:noWrap w:val="0"/>
            <w:vAlign w:val="center"/>
          </w:tcPr>
          <w:p w14:paraId="7AADE1BD">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108" w:type="dxa"/>
            <w:tcBorders>
              <w:top w:val="nil"/>
              <w:left w:val="nil"/>
              <w:bottom w:val="single" w:color="auto" w:sz="4" w:space="0"/>
              <w:right w:val="single" w:color="auto" w:sz="4" w:space="0"/>
            </w:tcBorders>
            <w:noWrap w:val="0"/>
            <w:vAlign w:val="center"/>
          </w:tcPr>
          <w:p w14:paraId="040AE2E7">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815" w:type="dxa"/>
            <w:tcBorders>
              <w:top w:val="nil"/>
              <w:left w:val="nil"/>
              <w:bottom w:val="single" w:color="auto" w:sz="4" w:space="0"/>
              <w:right w:val="single" w:color="auto" w:sz="4" w:space="0"/>
            </w:tcBorders>
            <w:noWrap w:val="0"/>
            <w:vAlign w:val="center"/>
          </w:tcPr>
          <w:p w14:paraId="7A1F5929">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862" w:type="dxa"/>
            <w:tcBorders>
              <w:top w:val="nil"/>
              <w:left w:val="nil"/>
              <w:bottom w:val="single" w:color="auto" w:sz="4" w:space="0"/>
              <w:right w:val="single" w:color="auto" w:sz="4" w:space="0"/>
            </w:tcBorders>
            <w:noWrap w:val="0"/>
            <w:vAlign w:val="center"/>
          </w:tcPr>
          <w:p w14:paraId="21378A3E">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373" w:type="dxa"/>
            <w:tcBorders>
              <w:top w:val="nil"/>
              <w:left w:val="nil"/>
              <w:bottom w:val="single" w:color="auto" w:sz="4" w:space="0"/>
              <w:right w:val="single" w:color="auto" w:sz="4" w:space="0"/>
            </w:tcBorders>
            <w:noWrap w:val="0"/>
            <w:vAlign w:val="center"/>
          </w:tcPr>
          <w:p w14:paraId="08CAE7B5">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14:paraId="3ECC2D51">
        <w:tblPrEx>
          <w:tblCellMar>
            <w:top w:w="0" w:type="dxa"/>
            <w:left w:w="108" w:type="dxa"/>
            <w:bottom w:w="0" w:type="dxa"/>
            <w:right w:w="108" w:type="dxa"/>
          </w:tblCellMar>
        </w:tblPrEx>
        <w:trPr>
          <w:jc w:val="center"/>
        </w:trPr>
        <w:tc>
          <w:tcPr>
            <w:tcW w:w="1059" w:type="dxa"/>
            <w:vMerge w:val="continue"/>
            <w:tcBorders>
              <w:left w:val="single" w:color="auto" w:sz="4" w:space="0"/>
              <w:right w:val="single" w:color="auto" w:sz="4" w:space="0"/>
            </w:tcBorders>
            <w:noWrap w:val="0"/>
            <w:vAlign w:val="center"/>
          </w:tcPr>
          <w:p w14:paraId="28B95071">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c>
          <w:tcPr>
            <w:tcW w:w="1060" w:type="dxa"/>
            <w:vMerge w:val="continue"/>
            <w:tcBorders>
              <w:left w:val="nil"/>
              <w:right w:val="single" w:color="auto" w:sz="4" w:space="0"/>
            </w:tcBorders>
            <w:noWrap w:val="0"/>
            <w:vAlign w:val="center"/>
          </w:tcPr>
          <w:p w14:paraId="5016C9B7">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50" w:type="dxa"/>
            <w:vMerge w:val="restart"/>
            <w:tcBorders>
              <w:top w:val="single" w:color="auto" w:sz="4" w:space="0"/>
              <w:left w:val="single" w:color="auto" w:sz="4" w:space="0"/>
              <w:right w:val="single" w:color="auto" w:sz="4" w:space="0"/>
            </w:tcBorders>
            <w:noWrap w:val="0"/>
            <w:vAlign w:val="center"/>
          </w:tcPr>
          <w:p w14:paraId="2622FB2C">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可持续影响指标</w:t>
            </w:r>
          </w:p>
        </w:tc>
        <w:tc>
          <w:tcPr>
            <w:tcW w:w="1457" w:type="dxa"/>
            <w:tcBorders>
              <w:top w:val="single" w:color="auto" w:sz="4" w:space="0"/>
              <w:left w:val="single" w:color="auto" w:sz="4" w:space="0"/>
              <w:bottom w:val="single" w:color="auto" w:sz="4" w:space="0"/>
              <w:right w:val="single" w:color="auto" w:sz="4" w:space="0"/>
            </w:tcBorders>
            <w:noWrap w:val="0"/>
            <w:vAlign w:val="center"/>
          </w:tcPr>
          <w:p w14:paraId="4819B8BA">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血液安全及质量管理</w:t>
            </w:r>
          </w:p>
        </w:tc>
        <w:tc>
          <w:tcPr>
            <w:tcW w:w="1067" w:type="dxa"/>
            <w:tcBorders>
              <w:top w:val="single" w:color="auto" w:sz="4" w:space="0"/>
              <w:left w:val="single" w:color="auto" w:sz="4" w:space="0"/>
              <w:bottom w:val="single" w:color="auto" w:sz="4" w:space="0"/>
              <w:right w:val="single" w:color="auto" w:sz="4" w:space="0"/>
            </w:tcBorders>
            <w:noWrap w:val="0"/>
            <w:vAlign w:val="center"/>
          </w:tcPr>
          <w:p w14:paraId="6F645C62">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　</w:t>
            </w:r>
            <w:r>
              <w:rPr>
                <w:rFonts w:hint="eastAsia" w:ascii="仿宋_GB2312" w:hAnsi="仿宋_GB2312" w:eastAsia="仿宋_GB2312" w:cs="仿宋_GB2312"/>
                <w:color w:val="000000"/>
                <w:sz w:val="20"/>
                <w:szCs w:val="20"/>
                <w:highlight w:val="none"/>
                <w:lang w:val="en-US" w:eastAsia="zh-CN"/>
              </w:rPr>
              <w:t>增强质控规范性、标准性，保障血液安全，实现血站可持续发展。</w:t>
            </w:r>
          </w:p>
        </w:tc>
        <w:tc>
          <w:tcPr>
            <w:tcW w:w="1108" w:type="dxa"/>
            <w:tcBorders>
              <w:top w:val="single" w:color="auto" w:sz="4" w:space="0"/>
              <w:left w:val="single" w:color="auto" w:sz="4" w:space="0"/>
              <w:bottom w:val="single" w:color="auto" w:sz="4" w:space="0"/>
              <w:right w:val="single" w:color="auto" w:sz="4" w:space="0"/>
            </w:tcBorders>
            <w:noWrap w:val="0"/>
            <w:vAlign w:val="center"/>
          </w:tcPr>
          <w:p w14:paraId="7E837EC2">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增强质控规范性、标准性，保障血液安全，实现血站可持续发展</w:t>
            </w:r>
            <w:r>
              <w:rPr>
                <w:rFonts w:hint="eastAsia" w:ascii="仿宋_GB2312" w:hAnsi="仿宋_GB2312" w:eastAsia="仿宋_GB2312" w:cs="仿宋_GB2312"/>
                <w:color w:val="000000"/>
                <w:sz w:val="20"/>
                <w:szCs w:val="20"/>
                <w:highlight w:val="none"/>
              </w:rPr>
              <w:t>　</w:t>
            </w:r>
          </w:p>
        </w:tc>
        <w:tc>
          <w:tcPr>
            <w:tcW w:w="815" w:type="dxa"/>
            <w:tcBorders>
              <w:top w:val="single" w:color="auto" w:sz="4" w:space="0"/>
              <w:left w:val="single" w:color="auto" w:sz="4" w:space="0"/>
              <w:bottom w:val="single" w:color="auto" w:sz="4" w:space="0"/>
              <w:right w:val="single" w:color="auto" w:sz="4" w:space="0"/>
            </w:tcBorders>
            <w:noWrap w:val="0"/>
            <w:vAlign w:val="center"/>
          </w:tcPr>
          <w:p w14:paraId="611E8794">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862" w:type="dxa"/>
            <w:tcBorders>
              <w:top w:val="single" w:color="auto" w:sz="4" w:space="0"/>
              <w:left w:val="single" w:color="auto" w:sz="4" w:space="0"/>
              <w:bottom w:val="single" w:color="auto" w:sz="4" w:space="0"/>
              <w:right w:val="single" w:color="auto" w:sz="4" w:space="0"/>
            </w:tcBorders>
            <w:noWrap w:val="0"/>
            <w:vAlign w:val="center"/>
          </w:tcPr>
          <w:p w14:paraId="7F73E987">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373" w:type="dxa"/>
            <w:tcBorders>
              <w:top w:val="single" w:color="auto" w:sz="4" w:space="0"/>
              <w:left w:val="single" w:color="auto" w:sz="4" w:space="0"/>
              <w:bottom w:val="single" w:color="auto" w:sz="4" w:space="0"/>
              <w:right w:val="single" w:color="auto" w:sz="4" w:space="0"/>
            </w:tcBorders>
            <w:noWrap w:val="0"/>
            <w:vAlign w:val="center"/>
          </w:tcPr>
          <w:p w14:paraId="08620249">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14:paraId="3068E0A6">
        <w:tblPrEx>
          <w:tblCellMar>
            <w:top w:w="0" w:type="dxa"/>
            <w:left w:w="108" w:type="dxa"/>
            <w:bottom w:w="0" w:type="dxa"/>
            <w:right w:w="108" w:type="dxa"/>
          </w:tblCellMar>
        </w:tblPrEx>
        <w:trPr>
          <w:jc w:val="center"/>
        </w:trPr>
        <w:tc>
          <w:tcPr>
            <w:tcW w:w="1059" w:type="dxa"/>
            <w:vMerge w:val="continue"/>
            <w:tcBorders>
              <w:left w:val="single" w:color="auto" w:sz="4" w:space="0"/>
              <w:right w:val="single" w:color="auto" w:sz="4" w:space="0"/>
            </w:tcBorders>
            <w:noWrap w:val="0"/>
            <w:vAlign w:val="center"/>
          </w:tcPr>
          <w:p w14:paraId="12FD4DFE">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60" w:type="dxa"/>
            <w:vMerge w:val="continue"/>
            <w:tcBorders>
              <w:left w:val="nil"/>
              <w:right w:val="single" w:color="auto" w:sz="4" w:space="0"/>
            </w:tcBorders>
            <w:noWrap w:val="0"/>
            <w:vAlign w:val="center"/>
          </w:tcPr>
          <w:p w14:paraId="649C032D">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50" w:type="dxa"/>
            <w:vMerge w:val="continue"/>
            <w:tcBorders>
              <w:left w:val="single" w:color="auto" w:sz="4" w:space="0"/>
              <w:right w:val="single" w:color="auto" w:sz="4" w:space="0"/>
            </w:tcBorders>
            <w:noWrap w:val="0"/>
            <w:vAlign w:val="center"/>
          </w:tcPr>
          <w:p w14:paraId="27DE6163">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457" w:type="dxa"/>
            <w:tcBorders>
              <w:top w:val="single" w:color="auto" w:sz="4" w:space="0"/>
              <w:left w:val="nil"/>
              <w:bottom w:val="single" w:color="auto" w:sz="4" w:space="0"/>
              <w:right w:val="single" w:color="auto" w:sz="4" w:space="0"/>
            </w:tcBorders>
            <w:noWrap w:val="0"/>
            <w:vAlign w:val="center"/>
          </w:tcPr>
          <w:p w14:paraId="7A52000E">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67" w:type="dxa"/>
            <w:tcBorders>
              <w:top w:val="single" w:color="auto" w:sz="4" w:space="0"/>
              <w:left w:val="nil"/>
              <w:bottom w:val="single" w:color="auto" w:sz="4" w:space="0"/>
              <w:right w:val="single" w:color="auto" w:sz="4" w:space="0"/>
            </w:tcBorders>
            <w:noWrap w:val="0"/>
            <w:vAlign w:val="center"/>
          </w:tcPr>
          <w:p w14:paraId="34B9C3CD">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108" w:type="dxa"/>
            <w:tcBorders>
              <w:top w:val="single" w:color="auto" w:sz="4" w:space="0"/>
              <w:left w:val="nil"/>
              <w:bottom w:val="single" w:color="auto" w:sz="4" w:space="0"/>
              <w:right w:val="single" w:color="auto" w:sz="4" w:space="0"/>
            </w:tcBorders>
            <w:noWrap w:val="0"/>
            <w:vAlign w:val="center"/>
          </w:tcPr>
          <w:p w14:paraId="028A47D3">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815" w:type="dxa"/>
            <w:tcBorders>
              <w:top w:val="single" w:color="auto" w:sz="4" w:space="0"/>
              <w:left w:val="nil"/>
              <w:bottom w:val="single" w:color="auto" w:sz="4" w:space="0"/>
              <w:right w:val="single" w:color="auto" w:sz="4" w:space="0"/>
            </w:tcBorders>
            <w:noWrap w:val="0"/>
            <w:vAlign w:val="center"/>
          </w:tcPr>
          <w:p w14:paraId="1B210EA0">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862" w:type="dxa"/>
            <w:tcBorders>
              <w:top w:val="single" w:color="auto" w:sz="4" w:space="0"/>
              <w:left w:val="nil"/>
              <w:bottom w:val="single" w:color="auto" w:sz="4" w:space="0"/>
              <w:right w:val="single" w:color="auto" w:sz="4" w:space="0"/>
            </w:tcBorders>
            <w:noWrap w:val="0"/>
            <w:vAlign w:val="center"/>
          </w:tcPr>
          <w:p w14:paraId="6F54D368">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373" w:type="dxa"/>
            <w:tcBorders>
              <w:top w:val="single" w:color="auto" w:sz="4" w:space="0"/>
              <w:left w:val="nil"/>
              <w:bottom w:val="single" w:color="auto" w:sz="4" w:space="0"/>
              <w:right w:val="single" w:color="auto" w:sz="4" w:space="0"/>
            </w:tcBorders>
            <w:noWrap w:val="0"/>
            <w:vAlign w:val="center"/>
          </w:tcPr>
          <w:p w14:paraId="44FCECED">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14:paraId="760C2FCE">
        <w:tblPrEx>
          <w:tblCellMar>
            <w:top w:w="0" w:type="dxa"/>
            <w:left w:w="108" w:type="dxa"/>
            <w:bottom w:w="0" w:type="dxa"/>
            <w:right w:w="108" w:type="dxa"/>
          </w:tblCellMar>
        </w:tblPrEx>
        <w:trPr>
          <w:jc w:val="center"/>
        </w:trPr>
        <w:tc>
          <w:tcPr>
            <w:tcW w:w="1059" w:type="dxa"/>
            <w:vMerge w:val="continue"/>
            <w:tcBorders>
              <w:left w:val="single" w:color="auto" w:sz="4" w:space="0"/>
              <w:right w:val="single" w:color="auto" w:sz="4" w:space="0"/>
            </w:tcBorders>
            <w:noWrap w:val="0"/>
            <w:vAlign w:val="center"/>
          </w:tcPr>
          <w:p w14:paraId="56ECAA09">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60" w:type="dxa"/>
            <w:vMerge w:val="continue"/>
            <w:tcBorders>
              <w:left w:val="nil"/>
              <w:bottom w:val="single" w:color="auto" w:sz="4" w:space="0"/>
              <w:right w:val="single" w:color="auto" w:sz="4" w:space="0"/>
            </w:tcBorders>
            <w:noWrap w:val="0"/>
            <w:vAlign w:val="center"/>
          </w:tcPr>
          <w:p w14:paraId="536441FB">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50" w:type="dxa"/>
            <w:vMerge w:val="continue"/>
            <w:tcBorders>
              <w:left w:val="single" w:color="auto" w:sz="4" w:space="0"/>
              <w:bottom w:val="single" w:color="auto" w:sz="4" w:space="0"/>
              <w:right w:val="single" w:color="auto" w:sz="4" w:space="0"/>
            </w:tcBorders>
            <w:noWrap w:val="0"/>
            <w:vAlign w:val="center"/>
          </w:tcPr>
          <w:p w14:paraId="285DF3B9">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457" w:type="dxa"/>
            <w:tcBorders>
              <w:top w:val="nil"/>
              <w:left w:val="nil"/>
              <w:bottom w:val="single" w:color="auto" w:sz="4" w:space="0"/>
              <w:right w:val="single" w:color="auto" w:sz="4" w:space="0"/>
            </w:tcBorders>
            <w:noWrap w:val="0"/>
            <w:vAlign w:val="center"/>
          </w:tcPr>
          <w:p w14:paraId="550A592E">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w:t>
            </w:r>
          </w:p>
        </w:tc>
        <w:tc>
          <w:tcPr>
            <w:tcW w:w="1067" w:type="dxa"/>
            <w:tcBorders>
              <w:top w:val="nil"/>
              <w:left w:val="nil"/>
              <w:bottom w:val="single" w:color="auto" w:sz="4" w:space="0"/>
              <w:right w:val="single" w:color="auto" w:sz="4" w:space="0"/>
            </w:tcBorders>
            <w:noWrap w:val="0"/>
            <w:vAlign w:val="center"/>
          </w:tcPr>
          <w:p w14:paraId="6808C012">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108" w:type="dxa"/>
            <w:tcBorders>
              <w:top w:val="nil"/>
              <w:left w:val="nil"/>
              <w:bottom w:val="single" w:color="auto" w:sz="4" w:space="0"/>
              <w:right w:val="single" w:color="auto" w:sz="4" w:space="0"/>
            </w:tcBorders>
            <w:noWrap w:val="0"/>
            <w:vAlign w:val="center"/>
          </w:tcPr>
          <w:p w14:paraId="2B7D653B">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815" w:type="dxa"/>
            <w:tcBorders>
              <w:top w:val="nil"/>
              <w:left w:val="nil"/>
              <w:bottom w:val="single" w:color="auto" w:sz="4" w:space="0"/>
              <w:right w:val="single" w:color="auto" w:sz="4" w:space="0"/>
            </w:tcBorders>
            <w:noWrap w:val="0"/>
            <w:vAlign w:val="center"/>
          </w:tcPr>
          <w:p w14:paraId="1159B0D0">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862" w:type="dxa"/>
            <w:tcBorders>
              <w:top w:val="nil"/>
              <w:left w:val="nil"/>
              <w:bottom w:val="single" w:color="auto" w:sz="4" w:space="0"/>
              <w:right w:val="single" w:color="auto" w:sz="4" w:space="0"/>
            </w:tcBorders>
            <w:noWrap w:val="0"/>
            <w:vAlign w:val="center"/>
          </w:tcPr>
          <w:p w14:paraId="0A8A8785">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373" w:type="dxa"/>
            <w:tcBorders>
              <w:top w:val="nil"/>
              <w:left w:val="nil"/>
              <w:bottom w:val="single" w:color="auto" w:sz="4" w:space="0"/>
              <w:right w:val="single" w:color="auto" w:sz="4" w:space="0"/>
            </w:tcBorders>
            <w:noWrap w:val="0"/>
            <w:vAlign w:val="center"/>
          </w:tcPr>
          <w:p w14:paraId="264B307F">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14:paraId="6F3AA871">
        <w:tblPrEx>
          <w:tblCellMar>
            <w:top w:w="0" w:type="dxa"/>
            <w:left w:w="108" w:type="dxa"/>
            <w:bottom w:w="0" w:type="dxa"/>
            <w:right w:w="108" w:type="dxa"/>
          </w:tblCellMar>
        </w:tblPrEx>
        <w:trPr>
          <w:jc w:val="center"/>
        </w:trPr>
        <w:tc>
          <w:tcPr>
            <w:tcW w:w="1059" w:type="dxa"/>
            <w:vMerge w:val="continue"/>
            <w:tcBorders>
              <w:left w:val="single" w:color="auto" w:sz="4" w:space="0"/>
              <w:right w:val="single" w:color="auto" w:sz="4" w:space="0"/>
            </w:tcBorders>
            <w:noWrap w:val="0"/>
            <w:vAlign w:val="center"/>
          </w:tcPr>
          <w:p w14:paraId="6504059F">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60" w:type="dxa"/>
            <w:vMerge w:val="restart"/>
            <w:tcBorders>
              <w:top w:val="nil"/>
              <w:left w:val="nil"/>
              <w:right w:val="single" w:color="auto" w:sz="4" w:space="0"/>
            </w:tcBorders>
            <w:noWrap w:val="0"/>
            <w:vAlign w:val="center"/>
          </w:tcPr>
          <w:p w14:paraId="497EA9BA">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满意度</w:t>
            </w:r>
          </w:p>
          <w:p w14:paraId="5DD8F8B1">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指标</w:t>
            </w:r>
          </w:p>
          <w:p w14:paraId="3EE7DB37">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（10分）</w:t>
            </w:r>
          </w:p>
        </w:tc>
        <w:tc>
          <w:tcPr>
            <w:tcW w:w="1050" w:type="dxa"/>
            <w:vMerge w:val="restart"/>
            <w:tcBorders>
              <w:top w:val="nil"/>
              <w:left w:val="nil"/>
              <w:right w:val="single" w:color="auto" w:sz="4" w:space="0"/>
            </w:tcBorders>
            <w:noWrap w:val="0"/>
            <w:vAlign w:val="center"/>
          </w:tcPr>
          <w:p w14:paraId="5FCCF137">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服务对象满意度指标</w:t>
            </w:r>
          </w:p>
        </w:tc>
        <w:tc>
          <w:tcPr>
            <w:tcW w:w="1457" w:type="dxa"/>
            <w:tcBorders>
              <w:top w:val="nil"/>
              <w:left w:val="nil"/>
              <w:bottom w:val="single" w:color="auto" w:sz="4" w:space="0"/>
              <w:right w:val="single" w:color="auto" w:sz="4" w:space="0"/>
            </w:tcBorders>
            <w:shd w:val="clear" w:color="auto" w:fill="auto"/>
            <w:noWrap w:val="0"/>
            <w:vAlign w:val="center"/>
          </w:tcPr>
          <w:p w14:paraId="414F3935">
            <w:pPr>
              <w:widowControl/>
              <w:spacing w:line="240" w:lineRule="exact"/>
              <w:jc w:val="center"/>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auto"/>
                <w:sz w:val="20"/>
                <w:szCs w:val="20"/>
                <w:lang w:val="en-US" w:eastAsia="zh-CN"/>
              </w:rPr>
              <w:t>临床用血安全、满意率</w:t>
            </w:r>
          </w:p>
        </w:tc>
        <w:tc>
          <w:tcPr>
            <w:tcW w:w="1067" w:type="dxa"/>
            <w:tcBorders>
              <w:top w:val="nil"/>
              <w:left w:val="nil"/>
              <w:bottom w:val="single" w:color="auto" w:sz="4" w:space="0"/>
              <w:right w:val="single" w:color="auto" w:sz="4" w:space="0"/>
            </w:tcBorders>
            <w:shd w:val="clear" w:color="auto" w:fill="auto"/>
            <w:noWrap w:val="0"/>
            <w:vAlign w:val="center"/>
          </w:tcPr>
          <w:p w14:paraId="79C03D8F">
            <w:pPr>
              <w:widowControl/>
              <w:spacing w:line="240" w:lineRule="exact"/>
              <w:jc w:val="center"/>
              <w:rPr>
                <w:rFonts w:hint="eastAsia" w:ascii="仿宋_GB2312" w:hAnsi="仿宋_GB2312" w:eastAsia="仿宋_GB2312" w:cs="仿宋_GB2312"/>
                <w:color w:val="auto"/>
                <w:kern w:val="0"/>
                <w:sz w:val="20"/>
                <w:szCs w:val="20"/>
                <w:lang w:val="en-US" w:eastAsia="zh-CN" w:bidi="ar-SA"/>
              </w:rPr>
            </w:pPr>
            <w:r>
              <w:rPr>
                <w:rFonts w:hint="eastAsia" w:ascii="仿宋_GB2312" w:hAnsi="仿宋_GB2312" w:eastAsia="仿宋_GB2312" w:cs="仿宋_GB2312"/>
                <w:i w:val="0"/>
                <w:iCs w:val="0"/>
                <w:color w:val="auto"/>
                <w:kern w:val="0"/>
                <w:sz w:val="18"/>
                <w:szCs w:val="18"/>
                <w:u w:val="none"/>
                <w:lang w:val="en-US" w:eastAsia="zh-CN" w:bidi="ar"/>
              </w:rPr>
              <w:t>用血单位满意度100%</w:t>
            </w:r>
          </w:p>
        </w:tc>
        <w:tc>
          <w:tcPr>
            <w:tcW w:w="1108" w:type="dxa"/>
            <w:tcBorders>
              <w:top w:val="nil"/>
              <w:left w:val="nil"/>
              <w:bottom w:val="single" w:color="auto" w:sz="4" w:space="0"/>
              <w:right w:val="single" w:color="auto" w:sz="4" w:space="0"/>
            </w:tcBorders>
            <w:shd w:val="clear" w:color="auto" w:fill="auto"/>
            <w:noWrap w:val="0"/>
            <w:vAlign w:val="center"/>
          </w:tcPr>
          <w:p w14:paraId="5B880015">
            <w:pPr>
              <w:widowControl/>
              <w:spacing w:line="240" w:lineRule="exact"/>
              <w:jc w:val="center"/>
              <w:rPr>
                <w:rFonts w:hint="eastAsia" w:ascii="仿宋_GB2312" w:hAnsi="仿宋_GB2312" w:eastAsia="仿宋_GB2312" w:cs="仿宋_GB2312"/>
                <w:color w:val="auto"/>
                <w:kern w:val="0"/>
                <w:sz w:val="20"/>
                <w:szCs w:val="20"/>
                <w:lang w:val="en-US" w:eastAsia="zh-CN" w:bidi="ar-SA"/>
              </w:rPr>
            </w:pPr>
            <w:r>
              <w:rPr>
                <w:rFonts w:hint="eastAsia" w:ascii="仿宋_GB2312" w:hAnsi="仿宋_GB2312" w:eastAsia="仿宋_GB2312" w:cs="仿宋_GB2312"/>
                <w:color w:val="auto"/>
                <w:sz w:val="20"/>
                <w:szCs w:val="20"/>
                <w:lang w:val="en-US" w:eastAsia="zh-CN"/>
              </w:rPr>
              <w:t>100%</w:t>
            </w:r>
          </w:p>
        </w:tc>
        <w:tc>
          <w:tcPr>
            <w:tcW w:w="815" w:type="dxa"/>
            <w:tcBorders>
              <w:top w:val="nil"/>
              <w:left w:val="nil"/>
              <w:bottom w:val="single" w:color="auto" w:sz="4" w:space="0"/>
              <w:right w:val="single" w:color="auto" w:sz="4" w:space="0"/>
            </w:tcBorders>
            <w:shd w:val="clear" w:color="auto" w:fill="auto"/>
            <w:noWrap w:val="0"/>
            <w:vAlign w:val="center"/>
          </w:tcPr>
          <w:p w14:paraId="1823F0BE">
            <w:pPr>
              <w:widowControl/>
              <w:spacing w:line="240" w:lineRule="exact"/>
              <w:jc w:val="center"/>
              <w:rPr>
                <w:rFonts w:hint="eastAsia" w:ascii="仿宋_GB2312" w:hAnsi="仿宋_GB2312" w:eastAsia="仿宋_GB2312" w:cs="仿宋_GB2312"/>
                <w:color w:val="auto"/>
                <w:kern w:val="0"/>
                <w:sz w:val="20"/>
                <w:szCs w:val="20"/>
                <w:lang w:val="en-US" w:eastAsia="zh-CN" w:bidi="ar-SA"/>
              </w:rPr>
            </w:pPr>
            <w:r>
              <w:rPr>
                <w:rFonts w:hint="eastAsia" w:ascii="仿宋_GB2312" w:hAnsi="仿宋_GB2312" w:eastAsia="仿宋_GB2312" w:cs="仿宋_GB2312"/>
                <w:color w:val="auto"/>
                <w:sz w:val="20"/>
                <w:szCs w:val="20"/>
                <w:lang w:val="en-US" w:eastAsia="zh-CN"/>
              </w:rPr>
              <w:t>5</w:t>
            </w:r>
          </w:p>
        </w:tc>
        <w:tc>
          <w:tcPr>
            <w:tcW w:w="862" w:type="dxa"/>
            <w:tcBorders>
              <w:top w:val="nil"/>
              <w:left w:val="nil"/>
              <w:bottom w:val="single" w:color="auto" w:sz="4" w:space="0"/>
              <w:right w:val="single" w:color="auto" w:sz="4" w:space="0"/>
            </w:tcBorders>
            <w:shd w:val="clear" w:color="auto" w:fill="auto"/>
            <w:noWrap w:val="0"/>
            <w:vAlign w:val="center"/>
          </w:tcPr>
          <w:p w14:paraId="15E2F3FC">
            <w:pPr>
              <w:widowControl/>
              <w:spacing w:line="240" w:lineRule="exact"/>
              <w:jc w:val="center"/>
              <w:rPr>
                <w:rFonts w:hint="eastAsia" w:ascii="仿宋_GB2312" w:hAnsi="仿宋_GB2312" w:eastAsia="仿宋_GB2312" w:cs="仿宋_GB2312"/>
                <w:color w:val="auto"/>
                <w:kern w:val="0"/>
                <w:sz w:val="20"/>
                <w:szCs w:val="20"/>
                <w:lang w:val="en-US" w:eastAsia="zh-CN" w:bidi="ar-SA"/>
              </w:rPr>
            </w:pPr>
            <w:r>
              <w:rPr>
                <w:rFonts w:hint="eastAsia" w:ascii="仿宋_GB2312" w:hAnsi="仿宋_GB2312" w:eastAsia="仿宋_GB2312" w:cs="仿宋_GB2312"/>
                <w:color w:val="auto"/>
                <w:sz w:val="20"/>
                <w:szCs w:val="20"/>
                <w:lang w:val="en-US" w:eastAsia="zh-CN"/>
              </w:rPr>
              <w:t>5</w:t>
            </w:r>
          </w:p>
        </w:tc>
        <w:tc>
          <w:tcPr>
            <w:tcW w:w="1373" w:type="dxa"/>
            <w:tcBorders>
              <w:top w:val="nil"/>
              <w:left w:val="nil"/>
              <w:bottom w:val="single" w:color="auto" w:sz="4" w:space="0"/>
              <w:right w:val="single" w:color="auto" w:sz="4" w:space="0"/>
            </w:tcBorders>
            <w:noWrap w:val="0"/>
            <w:vAlign w:val="center"/>
          </w:tcPr>
          <w:p w14:paraId="4D87E2D6">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14:paraId="3B08E19F">
        <w:tblPrEx>
          <w:tblCellMar>
            <w:top w:w="0" w:type="dxa"/>
            <w:left w:w="108" w:type="dxa"/>
            <w:bottom w:w="0" w:type="dxa"/>
            <w:right w:w="108" w:type="dxa"/>
          </w:tblCellMar>
        </w:tblPrEx>
        <w:trPr>
          <w:jc w:val="center"/>
        </w:trPr>
        <w:tc>
          <w:tcPr>
            <w:tcW w:w="1059" w:type="dxa"/>
            <w:vMerge w:val="continue"/>
            <w:tcBorders>
              <w:left w:val="single" w:color="auto" w:sz="4" w:space="0"/>
              <w:right w:val="single" w:color="auto" w:sz="4" w:space="0"/>
            </w:tcBorders>
            <w:noWrap w:val="0"/>
            <w:vAlign w:val="center"/>
          </w:tcPr>
          <w:p w14:paraId="207BAE35">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60" w:type="dxa"/>
            <w:vMerge w:val="continue"/>
            <w:tcBorders>
              <w:left w:val="nil"/>
              <w:right w:val="single" w:color="auto" w:sz="4" w:space="0"/>
            </w:tcBorders>
            <w:noWrap w:val="0"/>
            <w:vAlign w:val="center"/>
          </w:tcPr>
          <w:p w14:paraId="67FDF8C0">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50" w:type="dxa"/>
            <w:vMerge w:val="continue"/>
            <w:tcBorders>
              <w:left w:val="nil"/>
              <w:right w:val="single" w:color="auto" w:sz="4" w:space="0"/>
            </w:tcBorders>
            <w:noWrap w:val="0"/>
            <w:vAlign w:val="center"/>
          </w:tcPr>
          <w:p w14:paraId="198713F0">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457" w:type="dxa"/>
            <w:tcBorders>
              <w:top w:val="nil"/>
              <w:left w:val="nil"/>
              <w:bottom w:val="single" w:color="auto" w:sz="4" w:space="0"/>
              <w:right w:val="single" w:color="auto" w:sz="4" w:space="0"/>
            </w:tcBorders>
            <w:shd w:val="clear" w:color="auto" w:fill="auto"/>
            <w:noWrap w:val="0"/>
            <w:vAlign w:val="center"/>
          </w:tcPr>
          <w:p w14:paraId="6CD45CD7">
            <w:pPr>
              <w:widowControl/>
              <w:spacing w:line="240" w:lineRule="exact"/>
              <w:jc w:val="center"/>
              <w:rPr>
                <w:rFonts w:hint="eastAsia" w:ascii="仿宋_GB2312" w:hAnsi="仿宋_GB2312" w:eastAsia="仿宋_GB2312" w:cs="仿宋_GB2312"/>
                <w:color w:val="auto"/>
                <w:kern w:val="0"/>
                <w:sz w:val="20"/>
                <w:szCs w:val="20"/>
                <w:lang w:val="en-US" w:eastAsia="zh-CN" w:bidi="ar-SA"/>
              </w:rPr>
            </w:pPr>
            <w:r>
              <w:rPr>
                <w:rFonts w:hint="eastAsia" w:ascii="仿宋_GB2312" w:hAnsi="仿宋_GB2312" w:eastAsia="仿宋_GB2312" w:cs="仿宋_GB2312"/>
                <w:color w:val="auto"/>
                <w:sz w:val="20"/>
                <w:szCs w:val="20"/>
                <w:lang w:val="en-US" w:eastAsia="zh-CN"/>
              </w:rPr>
              <w:t>献血者回访满意度</w:t>
            </w:r>
          </w:p>
        </w:tc>
        <w:tc>
          <w:tcPr>
            <w:tcW w:w="1067" w:type="dxa"/>
            <w:tcBorders>
              <w:top w:val="nil"/>
              <w:left w:val="nil"/>
              <w:bottom w:val="single" w:color="auto" w:sz="4" w:space="0"/>
              <w:right w:val="single" w:color="auto" w:sz="4" w:space="0"/>
            </w:tcBorders>
            <w:shd w:val="clear" w:color="auto" w:fill="auto"/>
            <w:noWrap w:val="0"/>
            <w:vAlign w:val="center"/>
          </w:tcPr>
          <w:p w14:paraId="6B28BB3E">
            <w:pPr>
              <w:widowControl/>
              <w:spacing w:line="240" w:lineRule="exact"/>
              <w:jc w:val="center"/>
              <w:rPr>
                <w:rFonts w:hint="eastAsia" w:ascii="仿宋_GB2312" w:hAnsi="仿宋_GB2312" w:eastAsia="仿宋_GB2312" w:cs="仿宋_GB2312"/>
                <w:color w:val="auto"/>
                <w:kern w:val="0"/>
                <w:sz w:val="20"/>
                <w:szCs w:val="20"/>
                <w:lang w:val="en-US" w:eastAsia="zh-CN" w:bidi="ar-SA"/>
              </w:rPr>
            </w:pPr>
            <w:r>
              <w:rPr>
                <w:rFonts w:hint="eastAsia" w:ascii="仿宋_GB2312" w:hAnsi="仿宋_GB2312" w:eastAsia="仿宋_GB2312" w:cs="仿宋_GB2312"/>
                <w:i w:val="0"/>
                <w:iCs w:val="0"/>
                <w:color w:val="auto"/>
                <w:kern w:val="0"/>
                <w:sz w:val="18"/>
                <w:szCs w:val="18"/>
                <w:u w:val="none"/>
                <w:lang w:val="en-US" w:eastAsia="zh-CN" w:bidi="ar"/>
              </w:rPr>
              <w:t>献血者满意度≧96%</w:t>
            </w:r>
          </w:p>
        </w:tc>
        <w:tc>
          <w:tcPr>
            <w:tcW w:w="1108" w:type="dxa"/>
            <w:tcBorders>
              <w:top w:val="nil"/>
              <w:left w:val="nil"/>
              <w:bottom w:val="single" w:color="auto" w:sz="4" w:space="0"/>
              <w:right w:val="single" w:color="auto" w:sz="4" w:space="0"/>
            </w:tcBorders>
            <w:shd w:val="clear" w:color="auto" w:fill="auto"/>
            <w:noWrap w:val="0"/>
            <w:vAlign w:val="center"/>
          </w:tcPr>
          <w:p w14:paraId="6E3CE634">
            <w:pPr>
              <w:widowControl/>
              <w:spacing w:line="240" w:lineRule="exact"/>
              <w:jc w:val="center"/>
              <w:rPr>
                <w:rFonts w:hint="eastAsia" w:ascii="仿宋_GB2312" w:hAnsi="仿宋_GB2312" w:eastAsia="仿宋_GB2312" w:cs="仿宋_GB2312"/>
                <w:color w:val="auto"/>
                <w:kern w:val="0"/>
                <w:sz w:val="20"/>
                <w:szCs w:val="20"/>
                <w:lang w:val="en-US" w:eastAsia="zh-CN" w:bidi="ar-SA"/>
              </w:rPr>
            </w:pPr>
            <w:r>
              <w:rPr>
                <w:rFonts w:hint="eastAsia" w:ascii="仿宋_GB2312" w:hAnsi="仿宋_GB2312" w:eastAsia="仿宋_GB2312" w:cs="仿宋_GB2312"/>
                <w:color w:val="auto"/>
                <w:sz w:val="20"/>
                <w:szCs w:val="20"/>
                <w:lang w:val="en-US" w:eastAsia="zh-CN"/>
              </w:rPr>
              <w:t>97%</w:t>
            </w:r>
          </w:p>
        </w:tc>
        <w:tc>
          <w:tcPr>
            <w:tcW w:w="815" w:type="dxa"/>
            <w:tcBorders>
              <w:top w:val="nil"/>
              <w:left w:val="nil"/>
              <w:bottom w:val="single" w:color="auto" w:sz="4" w:space="0"/>
              <w:right w:val="single" w:color="auto" w:sz="4" w:space="0"/>
            </w:tcBorders>
            <w:shd w:val="clear" w:color="auto" w:fill="auto"/>
            <w:noWrap w:val="0"/>
            <w:vAlign w:val="center"/>
          </w:tcPr>
          <w:p w14:paraId="1C57F77C">
            <w:pPr>
              <w:widowControl/>
              <w:spacing w:line="240" w:lineRule="exact"/>
              <w:jc w:val="center"/>
              <w:rPr>
                <w:rFonts w:hint="eastAsia" w:ascii="仿宋_GB2312" w:hAnsi="仿宋_GB2312" w:eastAsia="仿宋_GB2312" w:cs="仿宋_GB2312"/>
                <w:color w:val="auto"/>
                <w:kern w:val="0"/>
                <w:sz w:val="20"/>
                <w:szCs w:val="20"/>
                <w:lang w:val="en-US" w:eastAsia="zh-CN" w:bidi="ar-SA"/>
              </w:rPr>
            </w:pPr>
            <w:r>
              <w:rPr>
                <w:rFonts w:hint="eastAsia" w:ascii="仿宋_GB2312" w:hAnsi="仿宋_GB2312" w:eastAsia="仿宋_GB2312" w:cs="仿宋_GB2312"/>
                <w:color w:val="auto"/>
                <w:sz w:val="20"/>
                <w:szCs w:val="20"/>
                <w:lang w:val="en-US" w:eastAsia="zh-CN"/>
              </w:rPr>
              <w:t>5</w:t>
            </w:r>
          </w:p>
        </w:tc>
        <w:tc>
          <w:tcPr>
            <w:tcW w:w="862" w:type="dxa"/>
            <w:tcBorders>
              <w:top w:val="nil"/>
              <w:left w:val="nil"/>
              <w:bottom w:val="single" w:color="auto" w:sz="4" w:space="0"/>
              <w:right w:val="single" w:color="auto" w:sz="4" w:space="0"/>
            </w:tcBorders>
            <w:shd w:val="clear" w:color="auto" w:fill="auto"/>
            <w:noWrap w:val="0"/>
            <w:vAlign w:val="center"/>
          </w:tcPr>
          <w:p w14:paraId="7F28E366">
            <w:pPr>
              <w:widowControl/>
              <w:spacing w:line="240" w:lineRule="exact"/>
              <w:jc w:val="center"/>
              <w:rPr>
                <w:rFonts w:hint="eastAsia" w:ascii="仿宋_GB2312" w:hAnsi="仿宋_GB2312" w:eastAsia="仿宋_GB2312" w:cs="仿宋_GB2312"/>
                <w:color w:val="auto"/>
                <w:kern w:val="0"/>
                <w:sz w:val="20"/>
                <w:szCs w:val="20"/>
                <w:lang w:val="en-US" w:eastAsia="zh-CN" w:bidi="ar-SA"/>
              </w:rPr>
            </w:pPr>
            <w:r>
              <w:rPr>
                <w:rFonts w:hint="eastAsia" w:ascii="仿宋_GB2312" w:hAnsi="仿宋_GB2312" w:eastAsia="仿宋_GB2312" w:cs="仿宋_GB2312"/>
                <w:color w:val="auto"/>
                <w:sz w:val="20"/>
                <w:szCs w:val="20"/>
                <w:lang w:val="en-US" w:eastAsia="zh-CN"/>
              </w:rPr>
              <w:t>5</w:t>
            </w:r>
          </w:p>
        </w:tc>
        <w:tc>
          <w:tcPr>
            <w:tcW w:w="1373" w:type="dxa"/>
            <w:tcBorders>
              <w:top w:val="nil"/>
              <w:left w:val="nil"/>
              <w:bottom w:val="single" w:color="auto" w:sz="4" w:space="0"/>
              <w:right w:val="single" w:color="auto" w:sz="4" w:space="0"/>
            </w:tcBorders>
            <w:noWrap w:val="0"/>
            <w:vAlign w:val="center"/>
          </w:tcPr>
          <w:p w14:paraId="2F9E1885">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14:paraId="5B6DFFAA">
        <w:tblPrEx>
          <w:tblCellMar>
            <w:top w:w="0" w:type="dxa"/>
            <w:left w:w="108" w:type="dxa"/>
            <w:bottom w:w="0" w:type="dxa"/>
            <w:right w:w="108" w:type="dxa"/>
          </w:tblCellMar>
        </w:tblPrEx>
        <w:trPr>
          <w:jc w:val="center"/>
        </w:trPr>
        <w:tc>
          <w:tcPr>
            <w:tcW w:w="1059" w:type="dxa"/>
            <w:vMerge w:val="continue"/>
            <w:tcBorders>
              <w:left w:val="single" w:color="auto" w:sz="4" w:space="0"/>
              <w:bottom w:val="single" w:color="auto" w:sz="4" w:space="0"/>
              <w:right w:val="single" w:color="auto" w:sz="4" w:space="0"/>
            </w:tcBorders>
            <w:noWrap w:val="0"/>
            <w:vAlign w:val="center"/>
          </w:tcPr>
          <w:p w14:paraId="7253B8E9">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60" w:type="dxa"/>
            <w:vMerge w:val="continue"/>
            <w:tcBorders>
              <w:left w:val="nil"/>
              <w:bottom w:val="single" w:color="auto" w:sz="4" w:space="0"/>
              <w:right w:val="single" w:color="auto" w:sz="4" w:space="0"/>
            </w:tcBorders>
            <w:noWrap w:val="0"/>
            <w:vAlign w:val="center"/>
          </w:tcPr>
          <w:p w14:paraId="2A41F6F0">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50" w:type="dxa"/>
            <w:vMerge w:val="continue"/>
            <w:tcBorders>
              <w:left w:val="nil"/>
              <w:bottom w:val="single" w:color="auto" w:sz="4" w:space="0"/>
              <w:right w:val="single" w:color="auto" w:sz="4" w:space="0"/>
            </w:tcBorders>
            <w:noWrap w:val="0"/>
            <w:vAlign w:val="center"/>
          </w:tcPr>
          <w:p w14:paraId="7E3F8D19">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457" w:type="dxa"/>
            <w:tcBorders>
              <w:top w:val="nil"/>
              <w:left w:val="nil"/>
              <w:bottom w:val="single" w:color="auto" w:sz="4" w:space="0"/>
              <w:right w:val="single" w:color="auto" w:sz="4" w:space="0"/>
            </w:tcBorders>
            <w:noWrap w:val="0"/>
            <w:vAlign w:val="center"/>
          </w:tcPr>
          <w:p w14:paraId="653BFBF0">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w:t>
            </w:r>
          </w:p>
        </w:tc>
        <w:tc>
          <w:tcPr>
            <w:tcW w:w="1067" w:type="dxa"/>
            <w:tcBorders>
              <w:top w:val="nil"/>
              <w:left w:val="nil"/>
              <w:bottom w:val="single" w:color="auto" w:sz="4" w:space="0"/>
              <w:right w:val="single" w:color="auto" w:sz="4" w:space="0"/>
            </w:tcBorders>
            <w:noWrap w:val="0"/>
            <w:vAlign w:val="center"/>
          </w:tcPr>
          <w:p w14:paraId="2993D4BB">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108" w:type="dxa"/>
            <w:tcBorders>
              <w:top w:val="nil"/>
              <w:left w:val="nil"/>
              <w:bottom w:val="single" w:color="auto" w:sz="4" w:space="0"/>
              <w:right w:val="single" w:color="auto" w:sz="4" w:space="0"/>
            </w:tcBorders>
            <w:noWrap w:val="0"/>
            <w:vAlign w:val="center"/>
          </w:tcPr>
          <w:p w14:paraId="72571730">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815" w:type="dxa"/>
            <w:tcBorders>
              <w:top w:val="nil"/>
              <w:left w:val="nil"/>
              <w:bottom w:val="single" w:color="auto" w:sz="4" w:space="0"/>
              <w:right w:val="single" w:color="auto" w:sz="4" w:space="0"/>
            </w:tcBorders>
            <w:noWrap w:val="0"/>
            <w:vAlign w:val="center"/>
          </w:tcPr>
          <w:p w14:paraId="023FE82D">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862" w:type="dxa"/>
            <w:tcBorders>
              <w:top w:val="nil"/>
              <w:left w:val="nil"/>
              <w:bottom w:val="single" w:color="auto" w:sz="4" w:space="0"/>
              <w:right w:val="single" w:color="auto" w:sz="4" w:space="0"/>
            </w:tcBorders>
            <w:noWrap w:val="0"/>
            <w:vAlign w:val="center"/>
          </w:tcPr>
          <w:p w14:paraId="0F241EE4">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373" w:type="dxa"/>
            <w:tcBorders>
              <w:top w:val="nil"/>
              <w:left w:val="nil"/>
              <w:bottom w:val="single" w:color="auto" w:sz="4" w:space="0"/>
              <w:right w:val="single" w:color="auto" w:sz="4" w:space="0"/>
            </w:tcBorders>
            <w:noWrap w:val="0"/>
            <w:vAlign w:val="center"/>
          </w:tcPr>
          <w:p w14:paraId="67B440AF">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14:paraId="01F348E1">
        <w:tblPrEx>
          <w:tblCellMar>
            <w:top w:w="0" w:type="dxa"/>
            <w:left w:w="108" w:type="dxa"/>
            <w:bottom w:w="0" w:type="dxa"/>
            <w:right w:w="108" w:type="dxa"/>
          </w:tblCellMar>
        </w:tblPrEx>
        <w:trPr>
          <w:jc w:val="center"/>
        </w:trPr>
        <w:tc>
          <w:tcPr>
            <w:tcW w:w="6801" w:type="dxa"/>
            <w:gridSpan w:val="6"/>
            <w:tcBorders>
              <w:top w:val="single" w:color="auto" w:sz="4" w:space="0"/>
              <w:left w:val="single" w:color="auto" w:sz="4" w:space="0"/>
              <w:bottom w:val="single" w:color="auto" w:sz="4" w:space="0"/>
              <w:right w:val="single" w:color="000000" w:sz="4" w:space="0"/>
            </w:tcBorders>
            <w:noWrap w:val="0"/>
            <w:vAlign w:val="center"/>
          </w:tcPr>
          <w:p w14:paraId="6C47062D">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总分</w:t>
            </w:r>
          </w:p>
        </w:tc>
        <w:tc>
          <w:tcPr>
            <w:tcW w:w="815" w:type="dxa"/>
            <w:tcBorders>
              <w:top w:val="nil"/>
              <w:left w:val="nil"/>
              <w:bottom w:val="single" w:color="auto" w:sz="4" w:space="0"/>
              <w:right w:val="single" w:color="auto" w:sz="4" w:space="0"/>
            </w:tcBorders>
            <w:noWrap w:val="0"/>
            <w:vAlign w:val="center"/>
          </w:tcPr>
          <w:p w14:paraId="6677C4ED">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100</w:t>
            </w:r>
          </w:p>
        </w:tc>
        <w:tc>
          <w:tcPr>
            <w:tcW w:w="862" w:type="dxa"/>
            <w:tcBorders>
              <w:top w:val="nil"/>
              <w:left w:val="nil"/>
              <w:bottom w:val="single" w:color="auto" w:sz="4" w:space="0"/>
              <w:right w:val="single" w:color="auto" w:sz="4" w:space="0"/>
            </w:tcBorders>
            <w:noWrap w:val="0"/>
            <w:vAlign w:val="center"/>
          </w:tcPr>
          <w:p w14:paraId="3080239E">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　</w:t>
            </w:r>
            <w:r>
              <w:rPr>
                <w:rFonts w:hint="eastAsia" w:ascii="仿宋_GB2312" w:hAnsi="仿宋_GB2312" w:eastAsia="仿宋_GB2312" w:cs="仿宋_GB2312"/>
                <w:color w:val="000000"/>
                <w:sz w:val="20"/>
                <w:szCs w:val="20"/>
                <w:highlight w:val="none"/>
                <w:lang w:val="en-US" w:eastAsia="zh-CN"/>
              </w:rPr>
              <w:t>98</w:t>
            </w:r>
          </w:p>
        </w:tc>
        <w:tc>
          <w:tcPr>
            <w:tcW w:w="1373" w:type="dxa"/>
            <w:tcBorders>
              <w:top w:val="nil"/>
              <w:left w:val="nil"/>
              <w:bottom w:val="single" w:color="auto" w:sz="4" w:space="0"/>
              <w:right w:val="single" w:color="auto" w:sz="4" w:space="0"/>
            </w:tcBorders>
            <w:noWrap w:val="0"/>
            <w:vAlign w:val="center"/>
          </w:tcPr>
          <w:p w14:paraId="551698E9">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bl>
    <w:p w14:paraId="2098A7CB">
      <w:pPr>
        <w:rPr>
          <w:rFonts w:hint="eastAsia" w:ascii="Times New Roman" w:hAnsi="Times New Roman" w:eastAsia="仿宋_GB2312" w:cs="Times New Roman"/>
          <w:sz w:val="18"/>
          <w:szCs w:val="18"/>
          <w:highlight w:val="none"/>
          <w:lang w:eastAsia="zh-CN"/>
        </w:rPr>
      </w:pPr>
      <w:r>
        <w:rPr>
          <w:rFonts w:hint="default" w:ascii="Times New Roman" w:hAnsi="Times New Roman" w:eastAsia="仿宋_GB2312" w:cs="Times New Roman"/>
          <w:sz w:val="18"/>
          <w:szCs w:val="18"/>
          <w:highlight w:val="none"/>
        </w:rPr>
        <w:t>备注：一个一级项目支出一张表。</w:t>
      </w:r>
      <w:r>
        <w:rPr>
          <w:rFonts w:hint="eastAsia" w:ascii="Times New Roman" w:hAnsi="Times New Roman" w:eastAsia="仿宋_GB2312" w:cs="Times New Roman"/>
          <w:sz w:val="18"/>
          <w:szCs w:val="18"/>
          <w:highlight w:val="none"/>
          <w:lang w:eastAsia="zh-CN"/>
        </w:rPr>
        <w:t>如，</w:t>
      </w:r>
      <w:r>
        <w:rPr>
          <w:rFonts w:hint="default" w:ascii="Times New Roman" w:hAnsi="Times New Roman" w:eastAsia="仿宋_GB2312" w:cs="Times New Roman"/>
          <w:sz w:val="18"/>
          <w:szCs w:val="18"/>
          <w:highlight w:val="none"/>
        </w:rPr>
        <w:t>业务工作经费</w:t>
      </w:r>
      <w:r>
        <w:rPr>
          <w:rFonts w:hint="eastAsia" w:ascii="Times New Roman" w:hAnsi="Times New Roman" w:eastAsia="仿宋_GB2312" w:cs="Times New Roman"/>
          <w:sz w:val="18"/>
          <w:szCs w:val="18"/>
          <w:highlight w:val="none"/>
          <w:lang w:eastAsia="zh-CN"/>
        </w:rPr>
        <w:t>，</w:t>
      </w:r>
      <w:r>
        <w:rPr>
          <w:rFonts w:hint="default" w:ascii="Times New Roman" w:hAnsi="Times New Roman" w:eastAsia="仿宋_GB2312" w:cs="Times New Roman"/>
          <w:sz w:val="18"/>
          <w:szCs w:val="18"/>
          <w:highlight w:val="none"/>
        </w:rPr>
        <w:t>运行维护经费</w:t>
      </w:r>
      <w:r>
        <w:rPr>
          <w:rFonts w:hint="eastAsia" w:ascii="Times New Roman" w:hAnsi="Times New Roman" w:eastAsia="仿宋_GB2312" w:cs="Times New Roman"/>
          <w:sz w:val="18"/>
          <w:szCs w:val="18"/>
          <w:highlight w:val="none"/>
          <w:lang w:eastAsia="zh-CN"/>
        </w:rPr>
        <w:t>，其他事业发展类资金…各一张表。</w:t>
      </w:r>
    </w:p>
    <w:p w14:paraId="358DE0F6">
      <w:pPr>
        <w:rPr>
          <w:rFonts w:hint="default" w:ascii="Times New Roman" w:hAnsi="Times New Roman" w:eastAsia="仿宋_GB2312" w:cs="Times New Roman"/>
          <w:sz w:val="18"/>
          <w:szCs w:val="18"/>
          <w:highlight w:val="none"/>
          <w:lang w:eastAsia="zh-CN"/>
        </w:rPr>
      </w:pPr>
    </w:p>
    <w:p w14:paraId="2F1A162E">
      <w:pPr>
        <w:rPr>
          <w:rFonts w:hint="eastAsia" w:ascii="黑体" w:hAnsi="黑体" w:eastAsia="黑体" w:cs="黑体"/>
          <w:sz w:val="32"/>
          <w:szCs w:val="32"/>
          <w:highlight w:val="none"/>
          <w:lang w:val="en-US" w:eastAsia="zh-CN"/>
        </w:rPr>
      </w:pPr>
      <w:r>
        <w:rPr>
          <w:rFonts w:hint="default" w:ascii="Times New Roman" w:hAnsi="Times New Roman" w:eastAsia="仿宋_GB2312" w:cs="Times New Roman"/>
          <w:sz w:val="22"/>
          <w:highlight w:val="none"/>
        </w:rPr>
        <w:t xml:space="preserve">填表人： </w:t>
      </w:r>
      <w:r>
        <w:rPr>
          <w:rFonts w:hint="eastAsia" w:eastAsia="仿宋_GB2312" w:cs="Times New Roman"/>
          <w:sz w:val="22"/>
          <w:highlight w:val="none"/>
          <w:lang w:val="en-US" w:eastAsia="zh-CN"/>
        </w:rPr>
        <w:t>徐军</w:t>
      </w:r>
      <w:r>
        <w:rPr>
          <w:rFonts w:hint="default" w:ascii="Times New Roman" w:hAnsi="Times New Roman" w:eastAsia="仿宋_GB2312" w:cs="Times New Roman"/>
          <w:sz w:val="22"/>
          <w:highlight w:val="none"/>
        </w:rPr>
        <w:t xml:space="preserve"> </w:t>
      </w:r>
      <w:r>
        <w:rPr>
          <w:rFonts w:hint="eastAsia" w:ascii="Times New Roman" w:hAnsi="Times New Roman" w:eastAsia="仿宋_GB2312" w:cs="Times New Roman"/>
          <w:sz w:val="22"/>
          <w:highlight w:val="none"/>
          <w:lang w:val="en-US" w:eastAsia="zh-CN"/>
        </w:rPr>
        <w:t xml:space="preserve"> </w:t>
      </w:r>
      <w:r>
        <w:rPr>
          <w:rFonts w:hint="default" w:ascii="Times New Roman" w:hAnsi="Times New Roman" w:eastAsia="仿宋_GB2312" w:cs="Times New Roman"/>
          <w:sz w:val="22"/>
          <w:highlight w:val="none"/>
        </w:rPr>
        <w:t xml:space="preserve"> 填报日期：</w:t>
      </w:r>
      <w:r>
        <w:rPr>
          <w:rFonts w:hint="eastAsia" w:eastAsia="仿宋_GB2312" w:cs="Times New Roman"/>
          <w:sz w:val="22"/>
          <w:highlight w:val="none"/>
          <w:lang w:val="en-US" w:eastAsia="zh-CN"/>
        </w:rPr>
        <w:t>2025-6-26</w:t>
      </w:r>
      <w:r>
        <w:rPr>
          <w:rFonts w:hint="default" w:ascii="Times New Roman" w:hAnsi="Times New Roman" w:eastAsia="仿宋_GB2312" w:cs="Times New Roman"/>
          <w:sz w:val="22"/>
          <w:highlight w:val="none"/>
        </w:rPr>
        <w:t xml:space="preserve">  </w:t>
      </w:r>
      <w:r>
        <w:rPr>
          <w:rFonts w:hint="eastAsia" w:ascii="Times New Roman" w:hAnsi="Times New Roman" w:eastAsia="仿宋_GB2312" w:cs="Times New Roman"/>
          <w:sz w:val="22"/>
          <w:highlight w:val="none"/>
          <w:lang w:val="en-US" w:eastAsia="zh-CN"/>
        </w:rPr>
        <w:t xml:space="preserve"> </w:t>
      </w:r>
      <w:r>
        <w:rPr>
          <w:rFonts w:hint="default" w:ascii="Times New Roman" w:hAnsi="Times New Roman" w:eastAsia="仿宋_GB2312" w:cs="Times New Roman"/>
          <w:sz w:val="22"/>
          <w:highlight w:val="none"/>
        </w:rPr>
        <w:t>联系电话：</w:t>
      </w:r>
      <w:r>
        <w:rPr>
          <w:rFonts w:hint="eastAsia" w:eastAsia="仿宋_GB2312" w:cs="Times New Roman"/>
          <w:sz w:val="22"/>
          <w:highlight w:val="none"/>
          <w:lang w:val="en-US" w:eastAsia="zh-CN"/>
        </w:rPr>
        <w:t>8831508</w:t>
      </w:r>
      <w:r>
        <w:rPr>
          <w:rFonts w:hint="default" w:ascii="Times New Roman" w:hAnsi="Times New Roman" w:eastAsia="仿宋_GB2312" w:cs="Times New Roman"/>
          <w:sz w:val="22"/>
          <w:highlight w:val="none"/>
        </w:rPr>
        <w:t xml:space="preserve"> </w:t>
      </w:r>
      <w:r>
        <w:rPr>
          <w:rFonts w:hint="eastAsia" w:eastAsia="仿宋_GB2312" w:cs="Times New Roman"/>
          <w:sz w:val="22"/>
          <w:highlight w:val="none"/>
          <w:lang w:val="en-US" w:eastAsia="zh-CN"/>
        </w:rPr>
        <w:t xml:space="preserve">   </w:t>
      </w:r>
      <w:r>
        <w:rPr>
          <w:rFonts w:hint="default" w:ascii="Times New Roman" w:hAnsi="Times New Roman" w:eastAsia="仿宋_GB2312" w:cs="Times New Roman"/>
          <w:sz w:val="22"/>
          <w:highlight w:val="none"/>
        </w:rPr>
        <w:t>单位负责人签字</w:t>
      </w:r>
      <w:r>
        <w:rPr>
          <w:rFonts w:hint="eastAsia" w:ascii="Times New Roman" w:hAnsi="Times New Roman" w:eastAsia="仿宋_GB2312" w:cs="Times New Roman"/>
          <w:sz w:val="22"/>
          <w:highlight w:val="none"/>
          <w:lang w:eastAsia="zh-CN"/>
        </w:rPr>
        <w:t>：</w:t>
      </w:r>
      <w:r>
        <w:rPr>
          <w:rFonts w:hint="eastAsia" w:eastAsia="仿宋_GB2312" w:cs="Times New Roman"/>
          <w:sz w:val="22"/>
          <w:highlight w:val="none"/>
          <w:lang w:val="en-US" w:eastAsia="zh-CN"/>
        </w:rPr>
        <w:t>周砺宏</w:t>
      </w:r>
      <w:r>
        <w:rPr>
          <w:rFonts w:hint="default" w:ascii="Times New Roman" w:hAnsi="Times New Roman" w:eastAsia="仿宋_GB2312" w:cs="Times New Roman"/>
          <w:sz w:val="22"/>
          <w:szCs w:val="22"/>
          <w:highlight w:val="none"/>
        </w:rPr>
        <w:br w:type="page"/>
      </w:r>
      <w:r>
        <w:rPr>
          <w:rFonts w:hint="eastAsia" w:ascii="黑体" w:hAnsi="黑体" w:eastAsia="黑体" w:cs="黑体"/>
          <w:sz w:val="32"/>
          <w:szCs w:val="32"/>
          <w:highlight w:val="none"/>
        </w:rPr>
        <w:t>附件</w:t>
      </w:r>
      <w:r>
        <w:rPr>
          <w:rFonts w:hint="eastAsia" w:ascii="黑体" w:hAnsi="黑体" w:eastAsia="黑体" w:cs="黑体"/>
          <w:sz w:val="32"/>
          <w:szCs w:val="32"/>
          <w:highlight w:val="none"/>
          <w:lang w:val="en-US" w:eastAsia="zh-CN"/>
        </w:rPr>
        <w:t>4</w:t>
      </w:r>
    </w:p>
    <w:p w14:paraId="19DF633C">
      <w:pPr>
        <w:jc w:val="center"/>
        <w:rPr>
          <w:rFonts w:hint="default" w:ascii="Times New Roman" w:hAnsi="Times New Roman" w:eastAsia="方正小标宋_GBK" w:cs="Times New Roman"/>
          <w:sz w:val="52"/>
          <w:szCs w:val="52"/>
          <w:highlight w:val="none"/>
        </w:rPr>
      </w:pPr>
    </w:p>
    <w:p w14:paraId="070AECFF">
      <w:pPr>
        <w:jc w:val="center"/>
        <w:rPr>
          <w:rFonts w:hint="eastAsia" w:ascii="方正小标宋简体" w:hAnsi="方正小标宋简体" w:eastAsia="方正小标宋简体" w:cs="方正小标宋简体"/>
          <w:sz w:val="44"/>
          <w:szCs w:val="44"/>
          <w:highlight w:val="none"/>
        </w:rPr>
      </w:pPr>
      <w:r>
        <w:rPr>
          <w:rFonts w:hint="eastAsia" w:ascii="方正小标宋简体" w:hAnsi="方正小标宋简体" w:eastAsia="方正小标宋简体" w:cs="方正小标宋简体"/>
          <w:sz w:val="44"/>
          <w:szCs w:val="44"/>
          <w:highlight w:val="none"/>
        </w:rPr>
        <w:t>202</w:t>
      </w:r>
      <w:r>
        <w:rPr>
          <w:rFonts w:hint="eastAsia" w:ascii="方正小标宋简体" w:hAnsi="方正小标宋简体" w:eastAsia="方正小标宋简体" w:cs="方正小标宋简体"/>
          <w:sz w:val="44"/>
          <w:szCs w:val="44"/>
          <w:highlight w:val="none"/>
          <w:lang w:val="en-US" w:eastAsia="zh-CN"/>
        </w:rPr>
        <w:t>4</w:t>
      </w:r>
      <w:r>
        <w:rPr>
          <w:rFonts w:hint="eastAsia" w:ascii="方正小标宋简体" w:hAnsi="方正小标宋简体" w:eastAsia="方正小标宋简体" w:cs="方正小标宋简体"/>
          <w:sz w:val="44"/>
          <w:szCs w:val="44"/>
          <w:highlight w:val="none"/>
        </w:rPr>
        <w:t>年度</w:t>
      </w:r>
      <w:r>
        <w:rPr>
          <w:rFonts w:hint="eastAsia" w:ascii="方正小标宋简体" w:hAnsi="方正小标宋简体" w:eastAsia="方正小标宋简体" w:cs="方正小标宋简体"/>
          <w:sz w:val="44"/>
          <w:szCs w:val="44"/>
          <w:highlight w:val="none"/>
          <w:lang w:val="en-US" w:eastAsia="zh-CN"/>
        </w:rPr>
        <w:t>岳阳市中心血站</w:t>
      </w:r>
      <w:r>
        <w:rPr>
          <w:rFonts w:hint="eastAsia" w:ascii="方正小标宋简体" w:hAnsi="方正小标宋简体" w:eastAsia="方正小标宋简体" w:cs="方正小标宋简体"/>
          <w:sz w:val="44"/>
          <w:szCs w:val="44"/>
          <w:highlight w:val="none"/>
        </w:rPr>
        <w:t>整体支出</w:t>
      </w:r>
    </w:p>
    <w:p w14:paraId="5DD80906">
      <w:pPr>
        <w:jc w:val="center"/>
        <w:rPr>
          <w:rFonts w:hint="eastAsia" w:ascii="方正小标宋简体" w:hAnsi="方正小标宋简体" w:eastAsia="方正小标宋简体" w:cs="方正小标宋简体"/>
          <w:sz w:val="44"/>
          <w:szCs w:val="44"/>
          <w:highlight w:val="none"/>
        </w:rPr>
      </w:pPr>
      <w:r>
        <w:rPr>
          <w:rFonts w:hint="eastAsia" w:ascii="方正小标宋简体" w:hAnsi="方正小标宋简体" w:eastAsia="方正小标宋简体" w:cs="方正小标宋简体"/>
          <w:sz w:val="44"/>
          <w:szCs w:val="44"/>
          <w:highlight w:val="none"/>
        </w:rPr>
        <w:t>绩效自评报告</w:t>
      </w:r>
    </w:p>
    <w:p w14:paraId="2B78EC57">
      <w:pPr>
        <w:jc w:val="center"/>
        <w:rPr>
          <w:rFonts w:hint="default" w:ascii="Times New Roman" w:hAnsi="Times New Roman" w:eastAsia="方正小标宋_GBK" w:cs="Times New Roman"/>
          <w:b/>
          <w:sz w:val="52"/>
          <w:szCs w:val="52"/>
          <w:highlight w:val="none"/>
        </w:rPr>
      </w:pPr>
    </w:p>
    <w:p w14:paraId="0FF86391">
      <w:pPr>
        <w:jc w:val="center"/>
        <w:rPr>
          <w:rFonts w:hint="default" w:ascii="Times New Roman" w:hAnsi="Times New Roman" w:eastAsia="楷体_GB2312" w:cs="Times New Roman"/>
          <w:b/>
          <w:sz w:val="32"/>
          <w:szCs w:val="32"/>
          <w:highlight w:val="none"/>
        </w:rPr>
      </w:pPr>
    </w:p>
    <w:p w14:paraId="462C54FD">
      <w:pPr>
        <w:jc w:val="center"/>
        <w:rPr>
          <w:rFonts w:hint="default" w:ascii="Times New Roman" w:hAnsi="Times New Roman" w:eastAsia="楷体_GB2312" w:cs="Times New Roman"/>
          <w:b/>
          <w:sz w:val="32"/>
          <w:szCs w:val="32"/>
          <w:highlight w:val="none"/>
        </w:rPr>
      </w:pPr>
    </w:p>
    <w:p w14:paraId="23B8B837">
      <w:pPr>
        <w:jc w:val="center"/>
        <w:rPr>
          <w:rFonts w:hint="default" w:ascii="Times New Roman" w:hAnsi="Times New Roman" w:eastAsia="楷体_GB2312" w:cs="Times New Roman"/>
          <w:b/>
          <w:sz w:val="32"/>
          <w:szCs w:val="32"/>
          <w:highlight w:val="none"/>
        </w:rPr>
      </w:pPr>
    </w:p>
    <w:p w14:paraId="0834E2D9">
      <w:pPr>
        <w:jc w:val="center"/>
        <w:rPr>
          <w:rFonts w:hint="default" w:ascii="Times New Roman" w:hAnsi="Times New Roman" w:eastAsia="楷体_GB2312" w:cs="Times New Roman"/>
          <w:b/>
          <w:sz w:val="32"/>
          <w:szCs w:val="32"/>
          <w:highlight w:val="none"/>
        </w:rPr>
      </w:pPr>
    </w:p>
    <w:p w14:paraId="6FA988B0">
      <w:pPr>
        <w:jc w:val="center"/>
        <w:rPr>
          <w:rFonts w:hint="default" w:ascii="Times New Roman" w:hAnsi="Times New Roman" w:eastAsia="楷体_GB2312" w:cs="Times New Roman"/>
          <w:b/>
          <w:sz w:val="32"/>
          <w:szCs w:val="32"/>
          <w:highlight w:val="none"/>
        </w:rPr>
      </w:pPr>
    </w:p>
    <w:p w14:paraId="62BDD547">
      <w:pPr>
        <w:jc w:val="center"/>
        <w:rPr>
          <w:rFonts w:hint="default" w:ascii="Times New Roman" w:hAnsi="Times New Roman" w:eastAsia="楷体_GB2312" w:cs="Times New Roman"/>
          <w:b/>
          <w:sz w:val="32"/>
          <w:szCs w:val="32"/>
          <w:highlight w:val="none"/>
        </w:rPr>
      </w:pPr>
    </w:p>
    <w:p w14:paraId="7F9C87A6">
      <w:pPr>
        <w:jc w:val="center"/>
        <w:rPr>
          <w:rFonts w:hint="default" w:ascii="Times New Roman" w:hAnsi="Times New Roman" w:eastAsia="黑体" w:cs="Times New Roman"/>
          <w:sz w:val="32"/>
          <w:szCs w:val="32"/>
          <w:highlight w:val="none"/>
        </w:rPr>
      </w:pPr>
    </w:p>
    <w:p w14:paraId="1F93AB29">
      <w:pPr>
        <w:jc w:val="center"/>
        <w:rPr>
          <w:rFonts w:hint="default" w:ascii="Times New Roman" w:hAnsi="Times New Roman" w:eastAsia="黑体" w:cs="Times New Roman"/>
          <w:sz w:val="32"/>
          <w:szCs w:val="32"/>
          <w:highlight w:val="none"/>
        </w:rPr>
      </w:pPr>
    </w:p>
    <w:p w14:paraId="4CD4DE86">
      <w:pPr>
        <w:jc w:val="center"/>
        <w:rPr>
          <w:rFonts w:hint="default" w:ascii="Times New Roman" w:hAnsi="Times New Roman" w:eastAsia="黑体" w:cs="Times New Roman"/>
          <w:sz w:val="32"/>
          <w:szCs w:val="32"/>
          <w:highlight w:val="none"/>
        </w:rPr>
      </w:pPr>
    </w:p>
    <w:p w14:paraId="2C1F653B">
      <w:pPr>
        <w:jc w:val="both"/>
        <w:rPr>
          <w:rFonts w:hint="default" w:ascii="Times New Roman" w:hAnsi="Times New Roman" w:eastAsia="黑体" w:cs="Times New Roman"/>
          <w:sz w:val="32"/>
          <w:szCs w:val="32"/>
          <w:highlight w:val="none"/>
        </w:rPr>
      </w:pPr>
    </w:p>
    <w:p w14:paraId="4935ECDB">
      <w:pPr>
        <w:jc w:val="center"/>
        <w:rPr>
          <w:rFonts w:hint="default" w:ascii="Times New Roman" w:hAnsi="Times New Roman" w:eastAsia="黑体" w:cs="Times New Roman"/>
          <w:sz w:val="32"/>
          <w:szCs w:val="32"/>
          <w:highlight w:val="none"/>
        </w:rPr>
      </w:pPr>
    </w:p>
    <w:p w14:paraId="4B098029">
      <w:pPr>
        <w:jc w:val="center"/>
        <w:rPr>
          <w:rFonts w:hint="default" w:ascii="Times New Roman" w:hAnsi="Times New Roman" w:eastAsia="黑体" w:cs="Times New Roman"/>
          <w:sz w:val="32"/>
          <w:szCs w:val="32"/>
          <w:highlight w:val="none"/>
        </w:rPr>
      </w:pPr>
    </w:p>
    <w:p w14:paraId="7627CC91">
      <w:pPr>
        <w:jc w:val="center"/>
        <w:rPr>
          <w:rFonts w:hint="default" w:ascii="Times New Roman" w:hAnsi="Times New Roman" w:eastAsia="黑体" w:cs="Times New Roman"/>
          <w:sz w:val="32"/>
          <w:szCs w:val="32"/>
          <w:highlight w:val="none"/>
        </w:rPr>
      </w:pPr>
    </w:p>
    <w:p w14:paraId="15503286">
      <w:pPr>
        <w:spacing w:line="600" w:lineRule="exact"/>
        <w:jc w:val="center"/>
        <w:rPr>
          <w:rFonts w:hint="default" w:ascii="Times New Roman" w:hAnsi="Times New Roman" w:eastAsia="仿宋_GB2312" w:cs="Times New Roman"/>
          <w:sz w:val="32"/>
          <w:szCs w:val="32"/>
          <w:highlight w:val="none"/>
          <w:u w:val="single"/>
        </w:rPr>
      </w:pPr>
      <w:r>
        <w:rPr>
          <w:rFonts w:hint="default" w:ascii="Times New Roman" w:hAnsi="Times New Roman" w:eastAsia="仿宋_GB2312" w:cs="Times New Roman"/>
          <w:sz w:val="32"/>
          <w:szCs w:val="32"/>
          <w:highlight w:val="none"/>
        </w:rPr>
        <w:t>部门（单位）名称：</w:t>
      </w:r>
      <w:r>
        <w:rPr>
          <w:rFonts w:hint="eastAsia" w:eastAsia="仿宋_GB2312" w:cs="Times New Roman"/>
          <w:sz w:val="32"/>
          <w:szCs w:val="32"/>
          <w:highlight w:val="none"/>
          <w:lang w:val="en-US" w:eastAsia="zh-CN"/>
        </w:rPr>
        <w:t>岳阳市中心血站</w:t>
      </w:r>
      <w:r>
        <w:rPr>
          <w:rFonts w:hint="default" w:ascii="Times New Roman" w:hAnsi="Times New Roman" w:eastAsia="仿宋_GB2312" w:cs="Times New Roman"/>
          <w:sz w:val="32"/>
          <w:szCs w:val="32"/>
          <w:highlight w:val="none"/>
          <w:u w:val="single"/>
        </w:rPr>
        <w:t>（盖章）</w:t>
      </w:r>
    </w:p>
    <w:p w14:paraId="2EE3E226">
      <w:pPr>
        <w:spacing w:line="600" w:lineRule="exact"/>
        <w:jc w:val="center"/>
        <w:rPr>
          <w:rFonts w:hint="default" w:ascii="Times New Roman" w:hAnsi="Times New Roman" w:eastAsia="楷体_GB2312" w:cs="Times New Roman"/>
          <w:sz w:val="32"/>
          <w:szCs w:val="32"/>
          <w:highlight w:val="none"/>
        </w:rPr>
      </w:pPr>
      <w:r>
        <w:rPr>
          <w:rFonts w:hint="eastAsia" w:eastAsia="楷体_GB2312" w:cs="Times New Roman"/>
          <w:sz w:val="32"/>
          <w:szCs w:val="32"/>
          <w:highlight w:val="none"/>
          <w:lang w:val="en-US" w:eastAsia="zh-CN"/>
        </w:rPr>
        <w:t>2025</w:t>
      </w:r>
      <w:r>
        <w:rPr>
          <w:rFonts w:hint="default" w:ascii="Times New Roman" w:hAnsi="Times New Roman" w:eastAsia="楷体_GB2312" w:cs="Times New Roman"/>
          <w:sz w:val="32"/>
          <w:szCs w:val="32"/>
          <w:highlight w:val="none"/>
        </w:rPr>
        <w:t>年</w:t>
      </w:r>
      <w:r>
        <w:rPr>
          <w:rFonts w:hint="eastAsia" w:eastAsia="楷体_GB2312" w:cs="Times New Roman"/>
          <w:sz w:val="32"/>
          <w:szCs w:val="32"/>
          <w:highlight w:val="none"/>
          <w:lang w:val="en-US" w:eastAsia="zh-CN"/>
        </w:rPr>
        <w:t>6</w:t>
      </w:r>
      <w:r>
        <w:rPr>
          <w:rFonts w:hint="default" w:ascii="Times New Roman" w:hAnsi="Times New Roman" w:eastAsia="楷体_GB2312" w:cs="Times New Roman"/>
          <w:sz w:val="32"/>
          <w:szCs w:val="32"/>
          <w:highlight w:val="none"/>
        </w:rPr>
        <w:t xml:space="preserve">月 </w:t>
      </w:r>
      <w:r>
        <w:rPr>
          <w:rFonts w:hint="eastAsia" w:eastAsia="楷体_GB2312" w:cs="Times New Roman"/>
          <w:sz w:val="32"/>
          <w:szCs w:val="32"/>
          <w:highlight w:val="none"/>
          <w:lang w:val="en-US" w:eastAsia="zh-CN"/>
        </w:rPr>
        <w:t>26</w:t>
      </w:r>
      <w:r>
        <w:rPr>
          <w:rFonts w:hint="default" w:ascii="Times New Roman" w:hAnsi="Times New Roman" w:eastAsia="楷体_GB2312" w:cs="Times New Roman"/>
          <w:sz w:val="32"/>
          <w:szCs w:val="32"/>
          <w:highlight w:val="none"/>
        </w:rPr>
        <w:t xml:space="preserve"> 日</w:t>
      </w:r>
    </w:p>
    <w:p w14:paraId="3B286B72">
      <w:pPr>
        <w:jc w:val="center"/>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（此页为封面）</w:t>
      </w:r>
    </w:p>
    <w:p w14:paraId="575E606B">
      <w:pPr>
        <w:ind w:firstLine="880" w:firstLineChars="200"/>
        <w:jc w:val="both"/>
        <w:rPr>
          <w:rFonts w:hint="eastAsia" w:ascii="方正小标宋简体" w:hAnsi="方正小标宋简体" w:eastAsia="方正小标宋简体" w:cs="方正小标宋简体"/>
          <w:sz w:val="44"/>
          <w:szCs w:val="44"/>
          <w:highlight w:val="none"/>
        </w:rPr>
      </w:pPr>
    </w:p>
    <w:p w14:paraId="0A6BE42F">
      <w:pPr>
        <w:ind w:firstLine="880" w:firstLineChars="200"/>
        <w:jc w:val="center"/>
        <w:rPr>
          <w:rFonts w:hint="eastAsia" w:ascii="方正小标宋简体" w:hAnsi="方正小标宋简体" w:eastAsia="方正小标宋简体" w:cs="方正小标宋简体"/>
          <w:sz w:val="44"/>
          <w:szCs w:val="44"/>
          <w:highlight w:val="none"/>
        </w:rPr>
      </w:pPr>
      <w:r>
        <w:rPr>
          <w:rFonts w:hint="eastAsia" w:ascii="方正小标宋简体" w:hAnsi="方正小标宋简体" w:eastAsia="方正小标宋简体" w:cs="方正小标宋简体"/>
          <w:sz w:val="44"/>
          <w:szCs w:val="44"/>
          <w:highlight w:val="none"/>
        </w:rPr>
        <w:t>202</w:t>
      </w:r>
      <w:r>
        <w:rPr>
          <w:rFonts w:hint="eastAsia" w:ascii="方正小标宋简体" w:hAnsi="方正小标宋简体" w:eastAsia="方正小标宋简体" w:cs="方正小标宋简体"/>
          <w:sz w:val="44"/>
          <w:szCs w:val="44"/>
          <w:highlight w:val="none"/>
          <w:lang w:val="en-US" w:eastAsia="zh-CN"/>
        </w:rPr>
        <w:t>4</w:t>
      </w:r>
      <w:r>
        <w:rPr>
          <w:rFonts w:hint="eastAsia" w:ascii="方正小标宋简体" w:hAnsi="方正小标宋简体" w:eastAsia="方正小标宋简体" w:cs="方正小标宋简体"/>
          <w:sz w:val="44"/>
          <w:szCs w:val="44"/>
          <w:highlight w:val="none"/>
        </w:rPr>
        <w:t>年度</w:t>
      </w:r>
      <w:r>
        <w:rPr>
          <w:rFonts w:hint="eastAsia" w:ascii="方正小标宋简体" w:hAnsi="方正小标宋简体" w:eastAsia="方正小标宋简体" w:cs="方正小标宋简体"/>
          <w:sz w:val="44"/>
          <w:szCs w:val="44"/>
          <w:highlight w:val="none"/>
          <w:lang w:val="en-US" w:eastAsia="zh-CN"/>
        </w:rPr>
        <w:t>岳阳市中心血站</w:t>
      </w:r>
      <w:r>
        <w:rPr>
          <w:rFonts w:hint="eastAsia" w:ascii="方正小标宋简体" w:hAnsi="方正小标宋简体" w:eastAsia="方正小标宋简体" w:cs="方正小标宋简体"/>
          <w:sz w:val="44"/>
          <w:szCs w:val="44"/>
          <w:highlight w:val="none"/>
        </w:rPr>
        <w:t>整体支出</w:t>
      </w:r>
    </w:p>
    <w:p w14:paraId="15DAC5DD">
      <w:pPr>
        <w:jc w:val="center"/>
        <w:rPr>
          <w:rFonts w:hint="eastAsia" w:ascii="方正小标宋简体" w:hAnsi="方正小标宋简体" w:eastAsia="方正小标宋简体" w:cs="方正小标宋简体"/>
          <w:sz w:val="44"/>
          <w:szCs w:val="44"/>
          <w:highlight w:val="none"/>
        </w:rPr>
      </w:pPr>
      <w:r>
        <w:rPr>
          <w:rFonts w:hint="eastAsia" w:ascii="方正小标宋简体" w:hAnsi="方正小标宋简体" w:eastAsia="方正小标宋简体" w:cs="方正小标宋简体"/>
          <w:sz w:val="44"/>
          <w:szCs w:val="44"/>
          <w:highlight w:val="none"/>
        </w:rPr>
        <w:t>绩效自评报告</w:t>
      </w:r>
    </w:p>
    <w:p w14:paraId="6A4DBE12">
      <w:pPr>
        <w:keepNext w:val="0"/>
        <w:keepLines w:val="0"/>
        <w:pageBreakBefore w:val="0"/>
        <w:kinsoku/>
        <w:wordWrap/>
        <w:overflowPunct/>
        <w:topLinePunct w:val="0"/>
        <w:autoSpaceDE/>
        <w:autoSpaceDN/>
        <w:bidi w:val="0"/>
        <w:adjustRightInd/>
        <w:snapToGrid/>
        <w:spacing w:line="640" w:lineRule="exact"/>
        <w:ind w:firstLine="640" w:firstLineChars="200"/>
        <w:jc w:val="both"/>
        <w:textAlignment w:val="auto"/>
        <w:rPr>
          <w:rFonts w:hint="default" w:ascii="Times New Roman" w:hAnsi="Times New Roman" w:eastAsia="仿宋_GB2312" w:cs="Times New Roman"/>
          <w:sz w:val="32"/>
          <w:szCs w:val="32"/>
          <w:highlight w:val="none"/>
        </w:rPr>
      </w:pPr>
    </w:p>
    <w:p w14:paraId="7BA917EA">
      <w:pPr>
        <w:keepNext w:val="0"/>
        <w:keepLines w:val="0"/>
        <w:pageBreakBefore w:val="0"/>
        <w:kinsoku/>
        <w:wordWrap/>
        <w:overflowPunct/>
        <w:topLinePunct w:val="0"/>
        <w:autoSpaceDE/>
        <w:autoSpaceDN/>
        <w:bidi w:val="0"/>
        <w:adjustRightInd/>
        <w:snapToGrid/>
        <w:spacing w:line="640" w:lineRule="exact"/>
        <w:ind w:firstLine="640" w:firstLineChars="200"/>
        <w:jc w:val="both"/>
        <w:textAlignment w:val="auto"/>
        <w:rPr>
          <w:rFonts w:hint="default" w:ascii="Times New Roman" w:hAnsi="Times New Roman" w:eastAsia="黑体" w:cs="Times New Roman"/>
          <w:sz w:val="32"/>
          <w:szCs w:val="32"/>
          <w:highlight w:val="none"/>
        </w:rPr>
      </w:pPr>
      <w:r>
        <w:rPr>
          <w:rFonts w:hint="default" w:ascii="Times New Roman" w:hAnsi="Times New Roman" w:eastAsia="黑体" w:cs="Times New Roman"/>
          <w:sz w:val="32"/>
          <w:szCs w:val="32"/>
          <w:highlight w:val="none"/>
        </w:rPr>
        <w:t>一、部门（单位）基本情况</w:t>
      </w:r>
    </w:p>
    <w:p w14:paraId="456BE0D3">
      <w:pPr>
        <w:keepNext w:val="0"/>
        <w:keepLines w:val="0"/>
        <w:pageBreakBefore w:val="0"/>
        <w:kinsoku/>
        <w:wordWrap/>
        <w:overflowPunct/>
        <w:topLinePunct w:val="0"/>
        <w:autoSpaceDE/>
        <w:autoSpaceDN/>
        <w:bidi w:val="0"/>
        <w:adjustRightInd/>
        <w:snapToGrid/>
        <w:spacing w:line="640" w:lineRule="exact"/>
        <w:ind w:firstLine="640" w:firstLineChars="200"/>
        <w:jc w:val="both"/>
        <w:textAlignment w:val="auto"/>
        <w:rPr>
          <w:rFonts w:hint="default" w:ascii="Times New Roman" w:hAnsi="Times New Roman" w:eastAsia="黑体" w:cs="Times New Roman"/>
          <w:sz w:val="32"/>
          <w:szCs w:val="32"/>
          <w:highlight w:val="none"/>
        </w:rPr>
      </w:pPr>
      <w:r>
        <w:rPr>
          <w:rFonts w:hint="eastAsia" w:ascii="仿宋_GB2312" w:hAnsi="仿宋_GB2312" w:eastAsia="仿宋_GB2312" w:cs="仿宋_GB2312"/>
          <w:color w:val="auto"/>
          <w:sz w:val="32"/>
          <w:szCs w:val="32"/>
          <w:lang w:val="en-US" w:eastAsia="zh-CN"/>
        </w:rPr>
        <w:t>岳阳市中心血站</w:t>
      </w:r>
      <w:r>
        <w:rPr>
          <w:rFonts w:hint="eastAsia" w:ascii="仿宋_GB2312" w:hAnsi="仿宋_GB2312" w:eastAsia="仿宋_GB2312" w:cs="仿宋_GB2312"/>
          <w:bCs/>
          <w:color w:val="auto"/>
          <w:sz w:val="32"/>
          <w:szCs w:val="32"/>
        </w:rPr>
        <w:t>是采集，提供临床用血，不以盈利性为目的的公益性卫生机构，为差额拨款的公共卫生事业单位</w:t>
      </w:r>
      <w:r>
        <w:rPr>
          <w:rFonts w:hint="eastAsia" w:ascii="仿宋_GB2312" w:hAnsi="仿宋_GB2312" w:eastAsia="仿宋_GB2312" w:cs="仿宋_GB2312"/>
          <w:bCs/>
          <w:color w:val="auto"/>
          <w:sz w:val="32"/>
          <w:szCs w:val="32"/>
          <w:lang w:eastAsia="zh-CN"/>
        </w:rPr>
        <w:t>。</w:t>
      </w:r>
      <w:r>
        <w:rPr>
          <w:rFonts w:hint="eastAsia" w:ascii="仿宋_GB2312" w:hAnsi="仿宋_GB2312" w:eastAsia="仿宋_GB2312" w:cs="仿宋_GB2312"/>
          <w:color w:val="auto"/>
          <w:sz w:val="32"/>
          <w:szCs w:val="32"/>
          <w:lang w:val="en-US" w:eastAsia="zh-CN"/>
        </w:rPr>
        <w:t xml:space="preserve">  </w:t>
      </w:r>
    </w:p>
    <w:p w14:paraId="1D8352E3">
      <w:pPr>
        <w:pStyle w:val="15"/>
        <w:keepNext w:val="0"/>
        <w:keepLines w:val="0"/>
        <w:pageBreakBefore w:val="0"/>
        <w:widowControl/>
        <w:kinsoku/>
        <w:wordWrap/>
        <w:overflowPunct/>
        <w:topLinePunct w:val="0"/>
        <w:autoSpaceDE/>
        <w:autoSpaceDN/>
        <w:bidi w:val="0"/>
        <w:adjustRightInd/>
        <w:snapToGrid/>
        <w:spacing w:line="640" w:lineRule="exact"/>
        <w:ind w:firstLine="640" w:firstLineChars="200"/>
        <w:jc w:val="both"/>
        <w:textAlignment w:val="auto"/>
        <w:rPr>
          <w:rFonts w:hint="default" w:ascii="Times New Roman" w:hAnsi="Times New Roman" w:eastAsia="黑体" w:cs="Times New Roman"/>
          <w:sz w:val="32"/>
          <w:szCs w:val="32"/>
          <w:highlight w:val="none"/>
        </w:rPr>
      </w:pPr>
      <w:r>
        <w:rPr>
          <w:rFonts w:hint="default" w:ascii="Times New Roman" w:hAnsi="Times New Roman" w:eastAsia="黑体" w:cs="Times New Roman"/>
          <w:sz w:val="32"/>
          <w:szCs w:val="32"/>
          <w:highlight w:val="none"/>
        </w:rPr>
        <w:t>二、一般公共预算支出情况</w:t>
      </w:r>
    </w:p>
    <w:p w14:paraId="56DCC5A0">
      <w:pPr>
        <w:spacing w:line="600" w:lineRule="exact"/>
        <w:rPr>
          <w:rFonts w:hint="eastAsia" w:ascii="Times New Roman" w:hAnsi="Times New Roman" w:eastAsia="楷体_GB2312" w:cs="Times New Roman"/>
          <w:b/>
          <w:sz w:val="32"/>
          <w:szCs w:val="32"/>
          <w:highlight w:val="none"/>
          <w:lang w:eastAsia="zh-CN"/>
        </w:rPr>
      </w:pPr>
      <w:r>
        <w:rPr>
          <w:rFonts w:hint="default" w:ascii="Times New Roman" w:hAnsi="Times New Roman" w:eastAsia="楷体_GB2312" w:cs="Times New Roman"/>
          <w:b/>
          <w:sz w:val="32"/>
          <w:szCs w:val="32"/>
          <w:highlight w:val="none"/>
        </w:rPr>
        <w:t>（一）基本支出情况</w:t>
      </w:r>
      <w:r>
        <w:rPr>
          <w:rFonts w:hint="eastAsia" w:ascii="Times New Roman" w:hAnsi="Times New Roman" w:eastAsia="楷体_GB2312" w:cs="Times New Roman"/>
          <w:b/>
          <w:sz w:val="32"/>
          <w:szCs w:val="32"/>
          <w:highlight w:val="none"/>
          <w:lang w:eastAsia="zh-CN"/>
        </w:rPr>
        <w:t>：</w:t>
      </w:r>
      <w:r>
        <w:rPr>
          <w:rFonts w:hint="eastAsia" w:ascii="仿宋_GB2312" w:hAnsi="仿宋_GB2312" w:eastAsia="仿宋_GB2312" w:cs="仿宋_GB2312"/>
          <w:bCs/>
          <w:color w:val="auto"/>
          <w:sz w:val="32"/>
          <w:szCs w:val="32"/>
        </w:rPr>
        <w:t>本单位20</w:t>
      </w:r>
      <w:r>
        <w:rPr>
          <w:rFonts w:hint="eastAsia" w:ascii="仿宋_GB2312" w:hAnsi="仿宋_GB2312" w:eastAsia="仿宋_GB2312" w:cs="仿宋_GB2312"/>
          <w:bCs/>
          <w:color w:val="auto"/>
          <w:sz w:val="32"/>
          <w:szCs w:val="32"/>
          <w:lang w:val="en-US" w:eastAsia="zh-CN"/>
        </w:rPr>
        <w:t>24</w:t>
      </w:r>
      <w:r>
        <w:rPr>
          <w:rFonts w:hint="eastAsia" w:ascii="仿宋_GB2312" w:hAnsi="仿宋_GB2312" w:eastAsia="仿宋_GB2312" w:cs="仿宋_GB2312"/>
          <w:bCs/>
          <w:color w:val="auto"/>
          <w:sz w:val="32"/>
          <w:szCs w:val="32"/>
        </w:rPr>
        <w:t>年</w:t>
      </w:r>
      <w:r>
        <w:rPr>
          <w:rFonts w:hint="eastAsia" w:ascii="仿宋_GB2312" w:hAnsi="仿宋_GB2312" w:eastAsia="仿宋_GB2312" w:cs="仿宋_GB2312"/>
          <w:bCs/>
          <w:color w:val="auto"/>
          <w:sz w:val="32"/>
          <w:szCs w:val="32"/>
          <w:lang w:val="en-US" w:eastAsia="zh-CN"/>
        </w:rPr>
        <w:t>基本</w:t>
      </w:r>
      <w:r>
        <w:rPr>
          <w:rFonts w:hint="eastAsia" w:ascii="仿宋_GB2312" w:hAnsi="仿宋_GB2312" w:eastAsia="仿宋_GB2312" w:cs="仿宋_GB2312"/>
          <w:bCs/>
          <w:color w:val="auto"/>
          <w:sz w:val="32"/>
          <w:szCs w:val="32"/>
        </w:rPr>
        <w:t>支出总额</w:t>
      </w:r>
      <w:r>
        <w:rPr>
          <w:rFonts w:hint="eastAsia" w:ascii="仿宋_GB2312" w:hAnsi="仿宋_GB2312" w:eastAsia="仿宋_GB2312" w:cs="仿宋_GB2312"/>
          <w:bCs/>
          <w:color w:val="auto"/>
          <w:sz w:val="32"/>
          <w:szCs w:val="32"/>
          <w:lang w:val="en-US" w:eastAsia="zh-CN"/>
        </w:rPr>
        <w:t>8100.94</w:t>
      </w:r>
      <w:r>
        <w:rPr>
          <w:rFonts w:hint="eastAsia" w:ascii="仿宋_GB2312" w:hAnsi="仿宋_GB2312" w:eastAsia="仿宋_GB2312" w:cs="仿宋_GB2312"/>
          <w:bCs/>
          <w:color w:val="auto"/>
          <w:sz w:val="32"/>
          <w:szCs w:val="32"/>
        </w:rPr>
        <w:t>万元，其中</w:t>
      </w:r>
      <w:r>
        <w:rPr>
          <w:rFonts w:hint="eastAsia" w:ascii="仿宋_GB2312" w:hAnsi="仿宋_GB2312" w:eastAsia="仿宋_GB2312" w:cs="仿宋_GB2312"/>
          <w:bCs/>
          <w:color w:val="auto"/>
          <w:sz w:val="32"/>
          <w:szCs w:val="32"/>
          <w:lang w:val="en-US" w:eastAsia="zh-CN"/>
        </w:rPr>
        <w:t>三公经费合计32.29万元（其中公务用车运行维护费31.1万元，公务接待费1.19万元）</w:t>
      </w:r>
      <w:r>
        <w:rPr>
          <w:rFonts w:hint="eastAsia" w:ascii="仿宋_GB2312" w:hAnsi="仿宋_GB2312" w:eastAsia="仿宋_GB2312" w:cs="仿宋_GB2312"/>
          <w:bCs/>
          <w:color w:val="auto"/>
          <w:sz w:val="32"/>
          <w:szCs w:val="32"/>
        </w:rPr>
        <w:t>。为确保财政性资金的安全合理使用，加强内部控制管理，根据国家有关法律法规，我站修订并完善</w:t>
      </w:r>
      <w:r>
        <w:rPr>
          <w:rFonts w:hint="eastAsia" w:ascii="仿宋_GB2312" w:hAnsi="仿宋_GB2312" w:eastAsia="仿宋_GB2312" w:cs="仿宋_GB2312"/>
          <w:color w:val="auto"/>
          <w:sz w:val="32"/>
          <w:szCs w:val="32"/>
          <w:lang w:val="en-US" w:eastAsia="zh-CN"/>
        </w:rPr>
        <w:t>了《聘用人员管理办法》《财务管理制度》《财务报账管理办法》《政府采购管理制度》《基建工程管理制度》《无偿献血者献血补贴标准》《编外聘用人员工资待遇方案》等相关制度。</w:t>
      </w:r>
    </w:p>
    <w:p w14:paraId="4DCE3813">
      <w:pPr>
        <w:keepNext w:val="0"/>
        <w:keepLines w:val="0"/>
        <w:pageBreakBefore w:val="0"/>
        <w:kinsoku/>
        <w:wordWrap/>
        <w:overflowPunct/>
        <w:topLinePunct w:val="0"/>
        <w:autoSpaceDE/>
        <w:autoSpaceDN/>
        <w:bidi w:val="0"/>
        <w:spacing w:line="600" w:lineRule="exact"/>
        <w:ind w:left="0" w:leftChars="0" w:firstLine="640" w:firstLineChars="200"/>
        <w:textAlignment w:val="auto"/>
        <w:rPr>
          <w:rFonts w:hint="default" w:ascii="仿宋_GB2312" w:hAnsi="仿宋_GB2312" w:eastAsia="仿宋_GB2312" w:cs="仿宋_GB2312"/>
          <w:bCs/>
          <w:color w:val="auto"/>
          <w:sz w:val="32"/>
          <w:szCs w:val="32"/>
          <w:lang w:val="en-US"/>
        </w:rPr>
      </w:pPr>
      <w:r>
        <w:rPr>
          <w:rFonts w:hint="default" w:ascii="Times New Roman" w:hAnsi="Times New Roman" w:eastAsia="楷体_GB2312" w:cs="Times New Roman"/>
          <w:b/>
          <w:sz w:val="32"/>
          <w:szCs w:val="32"/>
          <w:highlight w:val="none"/>
        </w:rPr>
        <w:t>（二）项目支出情况</w:t>
      </w:r>
      <w:r>
        <w:rPr>
          <w:rFonts w:hint="eastAsia" w:ascii="Times New Roman" w:hAnsi="Times New Roman" w:eastAsia="楷体_GB2312" w:cs="Times New Roman"/>
          <w:b/>
          <w:sz w:val="32"/>
          <w:szCs w:val="32"/>
          <w:highlight w:val="none"/>
          <w:lang w:eastAsia="zh-CN"/>
        </w:rPr>
        <w:t>：</w:t>
      </w:r>
      <w:r>
        <w:rPr>
          <w:rFonts w:hint="eastAsia" w:ascii="仿宋_GB2312" w:hAnsi="仿宋_GB2312" w:eastAsia="仿宋_GB2312" w:cs="仿宋_GB2312"/>
          <w:bCs/>
          <w:color w:val="auto"/>
          <w:sz w:val="32"/>
          <w:szCs w:val="32"/>
        </w:rPr>
        <w:t>本单位20</w:t>
      </w:r>
      <w:r>
        <w:rPr>
          <w:rFonts w:hint="eastAsia" w:ascii="仿宋_GB2312" w:hAnsi="仿宋_GB2312" w:eastAsia="仿宋_GB2312" w:cs="仿宋_GB2312"/>
          <w:bCs/>
          <w:color w:val="auto"/>
          <w:sz w:val="32"/>
          <w:szCs w:val="32"/>
          <w:lang w:val="en-US" w:eastAsia="zh-CN"/>
        </w:rPr>
        <w:t>24</w:t>
      </w:r>
      <w:r>
        <w:rPr>
          <w:rFonts w:hint="eastAsia" w:ascii="仿宋_GB2312" w:hAnsi="仿宋_GB2312" w:eastAsia="仿宋_GB2312" w:cs="仿宋_GB2312"/>
          <w:bCs/>
          <w:color w:val="auto"/>
          <w:sz w:val="32"/>
          <w:szCs w:val="32"/>
        </w:rPr>
        <w:t>年</w:t>
      </w:r>
      <w:r>
        <w:rPr>
          <w:rFonts w:hint="eastAsia" w:ascii="仿宋_GB2312" w:hAnsi="仿宋_GB2312" w:eastAsia="仿宋_GB2312" w:cs="仿宋_GB2312"/>
          <w:bCs/>
          <w:color w:val="auto"/>
          <w:sz w:val="32"/>
          <w:szCs w:val="32"/>
          <w:lang w:val="en-US" w:eastAsia="zh-CN"/>
        </w:rPr>
        <w:t>项目</w:t>
      </w:r>
      <w:r>
        <w:rPr>
          <w:rFonts w:hint="eastAsia" w:ascii="仿宋_GB2312" w:hAnsi="仿宋_GB2312" w:eastAsia="仿宋_GB2312" w:cs="仿宋_GB2312"/>
          <w:bCs/>
          <w:color w:val="auto"/>
          <w:sz w:val="32"/>
          <w:szCs w:val="32"/>
        </w:rPr>
        <w:t>支出总额</w:t>
      </w:r>
      <w:r>
        <w:rPr>
          <w:rFonts w:hint="eastAsia" w:ascii="仿宋_GB2312" w:hAnsi="仿宋_GB2312" w:eastAsia="仿宋_GB2312" w:cs="仿宋_GB2312"/>
          <w:bCs/>
          <w:color w:val="auto"/>
          <w:sz w:val="32"/>
          <w:szCs w:val="32"/>
          <w:lang w:val="en-US" w:eastAsia="zh-CN"/>
        </w:rPr>
        <w:t>265.84万元，</w:t>
      </w:r>
      <w:r>
        <w:rPr>
          <w:rFonts w:hint="eastAsia" w:ascii="仿宋_GB2312" w:hAnsi="仿宋_GB2312" w:eastAsia="仿宋_GB2312" w:cs="仿宋_GB2312"/>
          <w:bCs/>
          <w:color w:val="auto"/>
          <w:sz w:val="32"/>
          <w:szCs w:val="32"/>
        </w:rPr>
        <w:t>其中</w:t>
      </w:r>
      <w:r>
        <w:rPr>
          <w:rFonts w:hint="eastAsia" w:ascii="仿宋_GB2312" w:hAnsi="仿宋_GB2312" w:eastAsia="仿宋_GB2312" w:cs="仿宋_GB2312"/>
          <w:bCs/>
          <w:color w:val="auto"/>
          <w:sz w:val="32"/>
          <w:szCs w:val="32"/>
          <w:lang w:val="en-US" w:eastAsia="zh-CN"/>
        </w:rPr>
        <w:t>中央转移支付艾滋病防控血液安全项目资金265.84万元，无市本级项目资金。</w:t>
      </w:r>
    </w:p>
    <w:p w14:paraId="3EFA6BCE">
      <w:pPr>
        <w:pStyle w:val="15"/>
        <w:keepNext w:val="0"/>
        <w:keepLines w:val="0"/>
        <w:pageBreakBefore w:val="0"/>
        <w:widowControl/>
        <w:numPr>
          <w:ilvl w:val="0"/>
          <w:numId w:val="0"/>
        </w:numPr>
        <w:kinsoku/>
        <w:wordWrap/>
        <w:overflowPunct/>
        <w:topLinePunct w:val="0"/>
        <w:autoSpaceDE/>
        <w:autoSpaceDN/>
        <w:bidi w:val="0"/>
        <w:adjustRightInd/>
        <w:snapToGrid/>
        <w:spacing w:line="640" w:lineRule="exact"/>
        <w:ind w:firstLine="640" w:firstLineChars="200"/>
        <w:jc w:val="both"/>
        <w:textAlignment w:val="auto"/>
        <w:rPr>
          <w:rFonts w:hint="default" w:ascii="Times New Roman" w:hAnsi="Times New Roman" w:eastAsia="黑体" w:cs="Times New Roman"/>
          <w:sz w:val="32"/>
          <w:szCs w:val="32"/>
          <w:highlight w:val="none"/>
        </w:rPr>
      </w:pPr>
      <w:r>
        <w:rPr>
          <w:rFonts w:hint="eastAsia" w:ascii="Times New Roman" w:hAnsi="Times New Roman" w:eastAsia="黑体" w:cs="Times New Roman"/>
          <w:sz w:val="32"/>
          <w:szCs w:val="32"/>
          <w:highlight w:val="none"/>
          <w:lang w:val="en-US" w:eastAsia="zh-CN"/>
        </w:rPr>
        <w:t>三、</w:t>
      </w:r>
      <w:r>
        <w:rPr>
          <w:rFonts w:hint="default" w:ascii="Times New Roman" w:hAnsi="Times New Roman" w:eastAsia="黑体" w:cs="Times New Roman"/>
          <w:sz w:val="32"/>
          <w:szCs w:val="32"/>
          <w:highlight w:val="none"/>
        </w:rPr>
        <w:t>政府性基金预算支出情况</w:t>
      </w:r>
    </w:p>
    <w:p w14:paraId="29974D50">
      <w:pPr>
        <w:keepNext w:val="0"/>
        <w:keepLines w:val="0"/>
        <w:pageBreakBefore w:val="0"/>
        <w:kinsoku/>
        <w:wordWrap/>
        <w:overflowPunct/>
        <w:topLinePunct w:val="0"/>
        <w:autoSpaceDE/>
        <w:autoSpaceDN/>
        <w:bidi w:val="0"/>
        <w:spacing w:line="600" w:lineRule="exact"/>
        <w:ind w:left="0" w:leftChars="0" w:firstLine="640" w:firstLineChars="200"/>
        <w:textAlignment w:val="auto"/>
        <w:rPr>
          <w:rFonts w:hint="eastAsia" w:ascii="仿宋_GB2312" w:hAnsi="仿宋_GB2312" w:eastAsia="仿宋_GB2312" w:cs="仿宋_GB2312"/>
          <w:bCs/>
          <w:color w:val="auto"/>
          <w:sz w:val="32"/>
          <w:szCs w:val="32"/>
        </w:rPr>
      </w:pPr>
      <w:r>
        <w:rPr>
          <w:rFonts w:hint="eastAsia" w:ascii="仿宋_GB2312" w:hAnsi="仿宋_GB2312" w:eastAsia="仿宋_GB2312" w:cs="仿宋_GB2312"/>
          <w:color w:val="auto"/>
          <w:sz w:val="32"/>
          <w:szCs w:val="32"/>
          <w:lang w:val="en-US" w:eastAsia="zh-CN"/>
        </w:rPr>
        <w:t>2024年度本单位无政府性基金预算支出。</w:t>
      </w:r>
    </w:p>
    <w:p w14:paraId="6778B8F5">
      <w:pPr>
        <w:pStyle w:val="15"/>
        <w:keepNext w:val="0"/>
        <w:keepLines w:val="0"/>
        <w:pageBreakBefore w:val="0"/>
        <w:widowControl/>
        <w:numPr>
          <w:ilvl w:val="0"/>
          <w:numId w:val="2"/>
        </w:numPr>
        <w:kinsoku/>
        <w:wordWrap/>
        <w:overflowPunct/>
        <w:topLinePunct w:val="0"/>
        <w:autoSpaceDE/>
        <w:autoSpaceDN/>
        <w:bidi w:val="0"/>
        <w:adjustRightInd/>
        <w:snapToGrid/>
        <w:spacing w:line="640" w:lineRule="exact"/>
        <w:ind w:firstLine="640" w:firstLineChars="200"/>
        <w:jc w:val="both"/>
        <w:textAlignment w:val="auto"/>
        <w:rPr>
          <w:rFonts w:hint="default" w:ascii="Times New Roman" w:hAnsi="Times New Roman" w:eastAsia="黑体" w:cs="Times New Roman"/>
          <w:sz w:val="32"/>
          <w:szCs w:val="32"/>
          <w:highlight w:val="none"/>
        </w:rPr>
      </w:pPr>
      <w:r>
        <w:rPr>
          <w:rFonts w:hint="default" w:ascii="Times New Roman" w:hAnsi="Times New Roman" w:eastAsia="黑体" w:cs="Times New Roman"/>
          <w:sz w:val="32"/>
          <w:szCs w:val="32"/>
          <w:highlight w:val="none"/>
        </w:rPr>
        <w:t>国有资本经营预算支出情况</w:t>
      </w:r>
    </w:p>
    <w:p w14:paraId="7461C1B3">
      <w:pPr>
        <w:spacing w:line="600" w:lineRule="exact"/>
        <w:ind w:firstLine="640" w:firstLineChars="200"/>
        <w:rPr>
          <w:rFonts w:hint="default" w:ascii="Times New Roman" w:hAnsi="Times New Roman" w:eastAsia="黑体" w:cs="Times New Roman"/>
          <w:sz w:val="32"/>
          <w:szCs w:val="32"/>
          <w:highlight w:val="none"/>
        </w:rPr>
      </w:pPr>
      <w:r>
        <w:rPr>
          <w:rFonts w:hint="eastAsia" w:ascii="仿宋_GB2312" w:hAnsi="仿宋_GB2312" w:eastAsia="仿宋_GB2312" w:cs="仿宋_GB2312"/>
          <w:color w:val="auto"/>
          <w:sz w:val="32"/>
          <w:szCs w:val="32"/>
          <w:lang w:val="en-US" w:eastAsia="zh-CN"/>
        </w:rPr>
        <w:t>2024年度本单位无国有资本经营预算支出。</w:t>
      </w:r>
    </w:p>
    <w:p w14:paraId="4099D578">
      <w:pPr>
        <w:pStyle w:val="15"/>
        <w:keepNext w:val="0"/>
        <w:keepLines w:val="0"/>
        <w:pageBreakBefore w:val="0"/>
        <w:widowControl/>
        <w:numPr>
          <w:ilvl w:val="0"/>
          <w:numId w:val="2"/>
        </w:numPr>
        <w:kinsoku/>
        <w:wordWrap/>
        <w:overflowPunct/>
        <w:topLinePunct w:val="0"/>
        <w:autoSpaceDE/>
        <w:autoSpaceDN/>
        <w:bidi w:val="0"/>
        <w:adjustRightInd/>
        <w:snapToGrid/>
        <w:spacing w:line="640" w:lineRule="exact"/>
        <w:ind w:firstLine="640" w:firstLineChars="200"/>
        <w:jc w:val="both"/>
        <w:textAlignment w:val="auto"/>
        <w:rPr>
          <w:rFonts w:hint="default" w:ascii="Times New Roman" w:hAnsi="Times New Roman" w:eastAsia="黑体" w:cs="Times New Roman"/>
          <w:sz w:val="32"/>
          <w:szCs w:val="32"/>
          <w:highlight w:val="none"/>
        </w:rPr>
      </w:pPr>
      <w:r>
        <w:rPr>
          <w:rFonts w:hint="default" w:ascii="Times New Roman" w:hAnsi="Times New Roman" w:eastAsia="黑体" w:cs="Times New Roman"/>
          <w:sz w:val="32"/>
          <w:szCs w:val="32"/>
          <w:highlight w:val="none"/>
        </w:rPr>
        <w:t>社会保险基金预算支出情况</w:t>
      </w:r>
    </w:p>
    <w:p w14:paraId="435CD5AC">
      <w:pPr>
        <w:numPr>
          <w:ilvl w:val="0"/>
          <w:numId w:val="0"/>
        </w:numPr>
        <w:spacing w:line="600" w:lineRule="exact"/>
        <w:ind w:firstLine="640" w:firstLineChars="200"/>
        <w:rPr>
          <w:rFonts w:hint="default" w:ascii="Times New Roman" w:hAnsi="Times New Roman" w:eastAsia="黑体" w:cs="Times New Roman"/>
          <w:sz w:val="32"/>
          <w:szCs w:val="32"/>
          <w:highlight w:val="none"/>
        </w:rPr>
      </w:pPr>
      <w:r>
        <w:rPr>
          <w:rFonts w:hint="eastAsia" w:ascii="仿宋_GB2312" w:hAnsi="仿宋_GB2312" w:eastAsia="仿宋_GB2312" w:cs="仿宋_GB2312"/>
          <w:color w:val="auto"/>
          <w:sz w:val="32"/>
          <w:szCs w:val="32"/>
          <w:lang w:val="en-US" w:eastAsia="zh-CN"/>
        </w:rPr>
        <w:t>2024年度本单位无社会保险基金预算支出。</w:t>
      </w:r>
    </w:p>
    <w:p w14:paraId="3814BB5A">
      <w:pPr>
        <w:keepNext w:val="0"/>
        <w:keepLines w:val="0"/>
        <w:pageBreakBefore w:val="0"/>
        <w:widowControl/>
        <w:kinsoku/>
        <w:wordWrap/>
        <w:overflowPunct/>
        <w:topLinePunct w:val="0"/>
        <w:autoSpaceDE/>
        <w:autoSpaceDN/>
        <w:bidi w:val="0"/>
        <w:adjustRightInd/>
        <w:snapToGrid/>
        <w:spacing w:line="640" w:lineRule="exact"/>
        <w:ind w:firstLine="640" w:firstLineChars="200"/>
        <w:jc w:val="both"/>
        <w:textAlignment w:val="auto"/>
        <w:rPr>
          <w:rFonts w:hint="default" w:ascii="Times New Roman" w:hAnsi="Times New Roman" w:eastAsia="黑体" w:cs="Times New Roman"/>
          <w:sz w:val="32"/>
          <w:szCs w:val="32"/>
          <w:highlight w:val="none"/>
        </w:rPr>
      </w:pPr>
      <w:r>
        <w:rPr>
          <w:rFonts w:hint="default" w:ascii="Times New Roman" w:hAnsi="Times New Roman" w:eastAsia="黑体" w:cs="Times New Roman"/>
          <w:sz w:val="32"/>
          <w:szCs w:val="32"/>
          <w:highlight w:val="none"/>
        </w:rPr>
        <w:t>六、部门整体支出绩效情况</w:t>
      </w:r>
    </w:p>
    <w:p w14:paraId="2466096B">
      <w:pPr>
        <w:keepNext w:val="0"/>
        <w:keepLines w:val="0"/>
        <w:pageBreakBefore w:val="0"/>
        <w:widowControl w:val="0"/>
        <w:kinsoku/>
        <w:wordWrap/>
        <w:overflowPunct/>
        <w:topLinePunct w:val="0"/>
        <w:autoSpaceDE/>
        <w:autoSpaceDN/>
        <w:bidi w:val="0"/>
        <w:spacing w:line="600" w:lineRule="exact"/>
        <w:ind w:firstLine="640" w:firstLineChars="200"/>
        <w:textAlignment w:val="auto"/>
        <w:rPr>
          <w:rFonts w:hint="eastAsia" w:ascii="仿宋_GB2312" w:hAnsi="仿宋_GB2312" w:eastAsia="仿宋_GB2312" w:cs="仿宋_GB2312"/>
          <w:b w:val="0"/>
          <w:color w:val="auto"/>
          <w:sz w:val="32"/>
        </w:rPr>
      </w:pPr>
      <w:r>
        <w:rPr>
          <w:rFonts w:hint="eastAsia" w:ascii="仿宋_GB2312" w:hAnsi="仿宋_GB2312" w:eastAsia="仿宋_GB2312" w:cs="仿宋_GB2312"/>
          <w:color w:val="auto"/>
          <w:sz w:val="32"/>
          <w:szCs w:val="32"/>
        </w:rPr>
        <w:t>2024年，</w:t>
      </w:r>
      <w:r>
        <w:rPr>
          <w:rFonts w:hint="eastAsia" w:ascii="仿宋_GB2312" w:hAnsi="仿宋_GB2312" w:eastAsia="仿宋_GB2312" w:cs="仿宋_GB2312"/>
          <w:color w:val="auto"/>
          <w:sz w:val="32"/>
          <w:szCs w:val="32"/>
          <w:lang w:val="en-US" w:eastAsia="zh-CN"/>
        </w:rPr>
        <w:t>岳阳市中心血站</w:t>
      </w:r>
      <w:r>
        <w:rPr>
          <w:rFonts w:hint="eastAsia" w:ascii="仿宋_GB2312" w:hAnsi="仿宋_GB2312" w:eastAsia="仿宋_GB2312" w:cs="仿宋_GB2312"/>
          <w:color w:val="auto"/>
          <w:sz w:val="32"/>
          <w:szCs w:val="32"/>
        </w:rPr>
        <w:t>坚持以习近平新时代中国特色社会主义思想为指导，深入学习贯彻党的二十</w:t>
      </w:r>
      <w:r>
        <w:rPr>
          <w:rFonts w:hint="eastAsia" w:ascii="仿宋_GB2312" w:hAnsi="仿宋_GB2312" w:eastAsia="仿宋_GB2312" w:cs="仿宋_GB2312"/>
          <w:color w:val="auto"/>
          <w:sz w:val="32"/>
          <w:szCs w:val="32"/>
          <w:lang w:val="en-US" w:eastAsia="zh-CN"/>
        </w:rPr>
        <w:t>届三中全会</w:t>
      </w:r>
      <w:r>
        <w:rPr>
          <w:rFonts w:hint="eastAsia" w:ascii="仿宋_GB2312" w:hAnsi="仿宋_GB2312" w:eastAsia="仿宋_GB2312" w:cs="仿宋_GB2312"/>
          <w:color w:val="auto"/>
          <w:sz w:val="32"/>
          <w:szCs w:val="32"/>
        </w:rPr>
        <w:t>精神，在</w:t>
      </w:r>
      <w:r>
        <w:rPr>
          <w:rFonts w:hint="eastAsia" w:ascii="仿宋_GB2312" w:hAnsi="仿宋_GB2312" w:eastAsia="仿宋_GB2312" w:cs="仿宋_GB2312"/>
          <w:color w:val="auto"/>
          <w:sz w:val="32"/>
          <w:szCs w:val="32"/>
          <w:lang w:val="en-US" w:eastAsia="zh-CN"/>
        </w:rPr>
        <w:t>市</w:t>
      </w:r>
      <w:r>
        <w:rPr>
          <w:rFonts w:hint="eastAsia" w:ascii="仿宋_GB2312" w:hAnsi="仿宋_GB2312" w:eastAsia="仿宋_GB2312" w:cs="仿宋_GB2312"/>
          <w:color w:val="auto"/>
          <w:sz w:val="32"/>
          <w:szCs w:val="32"/>
        </w:rPr>
        <w:t>委、</w:t>
      </w:r>
      <w:r>
        <w:rPr>
          <w:rFonts w:hint="eastAsia" w:ascii="仿宋_GB2312" w:hAnsi="仿宋_GB2312" w:eastAsia="仿宋_GB2312" w:cs="仿宋_GB2312"/>
          <w:color w:val="auto"/>
          <w:sz w:val="32"/>
          <w:szCs w:val="32"/>
          <w:lang w:val="en-US" w:eastAsia="zh-CN"/>
        </w:rPr>
        <w:t>市</w:t>
      </w:r>
      <w:r>
        <w:rPr>
          <w:rFonts w:hint="eastAsia" w:ascii="仿宋_GB2312" w:hAnsi="仿宋_GB2312" w:eastAsia="仿宋_GB2312" w:cs="仿宋_GB2312"/>
          <w:color w:val="auto"/>
          <w:sz w:val="32"/>
          <w:szCs w:val="32"/>
        </w:rPr>
        <w:t>政府的坚强领导和</w:t>
      </w:r>
      <w:r>
        <w:rPr>
          <w:rFonts w:hint="eastAsia" w:ascii="仿宋_GB2312" w:hAnsi="仿宋_GB2312" w:eastAsia="仿宋_GB2312" w:cs="仿宋_GB2312"/>
          <w:color w:val="auto"/>
          <w:sz w:val="32"/>
          <w:szCs w:val="32"/>
          <w:lang w:val="en-US" w:eastAsia="zh-CN"/>
        </w:rPr>
        <w:t>市卫健委</w:t>
      </w:r>
      <w:r>
        <w:rPr>
          <w:rFonts w:hint="eastAsia" w:ascii="仿宋_GB2312" w:hAnsi="仿宋_GB2312" w:eastAsia="仿宋_GB2312" w:cs="仿宋_GB2312"/>
          <w:color w:val="auto"/>
          <w:sz w:val="32"/>
          <w:szCs w:val="32"/>
        </w:rPr>
        <w:t>的悉心指导下，紧紧围绕卫生健康事业发展大局，以保障临床用血安全供给为重点，全</w:t>
      </w:r>
      <w:r>
        <w:rPr>
          <w:rFonts w:hint="eastAsia" w:ascii="仿宋_GB2312" w:hAnsi="仿宋_GB2312" w:eastAsia="仿宋_GB2312" w:cs="仿宋_GB2312"/>
          <w:color w:val="auto"/>
          <w:sz w:val="32"/>
          <w:szCs w:val="32"/>
          <w:lang w:val="en-US" w:eastAsia="zh-CN"/>
        </w:rPr>
        <w:t>站</w:t>
      </w:r>
      <w:r>
        <w:rPr>
          <w:rFonts w:hint="eastAsia" w:ascii="仿宋_GB2312" w:hAnsi="仿宋_GB2312" w:eastAsia="仿宋_GB2312" w:cs="仿宋_GB2312"/>
          <w:color w:val="auto"/>
          <w:sz w:val="32"/>
          <w:szCs w:val="32"/>
        </w:rPr>
        <w:t>干部职工团结一心、担当作为，各项工作有序推进。</w:t>
      </w:r>
    </w:p>
    <w:p w14:paraId="3EC28ED6">
      <w:pPr>
        <w:keepNext w:val="0"/>
        <w:keepLines w:val="0"/>
        <w:pageBreakBefore w:val="0"/>
        <w:widowControl w:val="0"/>
        <w:kinsoku/>
        <w:wordWrap/>
        <w:overflowPunct/>
        <w:topLinePunct w:val="0"/>
        <w:autoSpaceDE/>
        <w:autoSpaceDN/>
        <w:bidi w:val="0"/>
        <w:spacing w:line="600" w:lineRule="exact"/>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楷体_GB2312" w:hAnsi="楷体_GB2312" w:eastAsia="楷体_GB2312" w:cs="楷体_GB2312"/>
          <w:b w:val="0"/>
          <w:bCs w:val="0"/>
          <w:color w:val="auto"/>
          <w:sz w:val="32"/>
          <w:szCs w:val="32"/>
          <w:lang w:val="en-US" w:eastAsia="zh-CN"/>
        </w:rPr>
        <w:t>千方百计扩宣传，广采集。一是浓氛围。</w:t>
      </w:r>
      <w:r>
        <w:rPr>
          <w:rFonts w:hint="eastAsia" w:ascii="仿宋_GB2312" w:hAnsi="仿宋_GB2312" w:eastAsia="仿宋_GB2312" w:cs="仿宋_GB2312"/>
          <w:color w:val="auto"/>
          <w:sz w:val="32"/>
          <w:szCs w:val="32"/>
        </w:rPr>
        <w:t>人民日报客户端、新湖南客户端、岳阳电视台、岳阳广播电台、岳阳日报、岳阳新闻网等媒体进行宣传报道。</w:t>
      </w:r>
      <w:r>
        <w:rPr>
          <w:rFonts w:hint="eastAsia" w:ascii="仿宋_GB2312" w:hAnsi="仿宋_GB2312" w:eastAsia="仿宋_GB2312" w:cs="仿宋_GB2312"/>
          <w:color w:val="auto"/>
          <w:sz w:val="32"/>
          <w:szCs w:val="32"/>
          <w:lang w:val="en-US" w:eastAsia="zh-CN"/>
        </w:rPr>
        <w:t>全年，</w:t>
      </w:r>
      <w:r>
        <w:rPr>
          <w:rFonts w:hint="eastAsia" w:ascii="仿宋_GB2312" w:hAnsi="仿宋_GB2312" w:eastAsia="仿宋_GB2312" w:cs="仿宋_GB2312"/>
          <w:color w:val="auto"/>
          <w:sz w:val="32"/>
          <w:szCs w:val="32"/>
        </w:rPr>
        <w:t>省级媒体发表报道</w:t>
      </w:r>
      <w:r>
        <w:rPr>
          <w:rFonts w:hint="eastAsia" w:ascii="仿宋_GB2312" w:hAnsi="仿宋_GB2312" w:eastAsia="仿宋_GB2312" w:cs="仿宋_GB2312"/>
          <w:color w:val="auto"/>
          <w:sz w:val="32"/>
          <w:szCs w:val="32"/>
          <w:lang w:val="en-US" w:eastAsia="zh-CN"/>
        </w:rPr>
        <w:t>26</w:t>
      </w:r>
      <w:r>
        <w:rPr>
          <w:rFonts w:hint="eastAsia" w:ascii="仿宋_GB2312" w:hAnsi="仿宋_GB2312" w:eastAsia="仿宋_GB2312" w:cs="仿宋_GB2312"/>
          <w:color w:val="auto"/>
          <w:sz w:val="32"/>
          <w:szCs w:val="32"/>
        </w:rPr>
        <w:t>篇；中国输血协会官网</w:t>
      </w:r>
      <w:r>
        <w:rPr>
          <w:rFonts w:hint="eastAsia" w:ascii="仿宋_GB2312" w:hAnsi="仿宋_GB2312" w:eastAsia="仿宋_GB2312" w:cs="仿宋_GB2312"/>
          <w:color w:val="auto"/>
          <w:sz w:val="32"/>
          <w:szCs w:val="32"/>
          <w:lang w:val="en-US" w:eastAsia="zh-CN"/>
        </w:rPr>
        <w:t>81</w:t>
      </w:r>
      <w:r>
        <w:rPr>
          <w:rFonts w:hint="eastAsia" w:ascii="仿宋_GB2312" w:hAnsi="仿宋_GB2312" w:eastAsia="仿宋_GB2312" w:cs="仿宋_GB2312"/>
          <w:color w:val="auto"/>
          <w:sz w:val="32"/>
          <w:szCs w:val="32"/>
        </w:rPr>
        <w:t>篇；市级媒体</w:t>
      </w:r>
      <w:r>
        <w:rPr>
          <w:rFonts w:hint="eastAsia" w:ascii="仿宋_GB2312" w:hAnsi="仿宋_GB2312" w:eastAsia="仿宋_GB2312" w:cs="仿宋_GB2312"/>
          <w:color w:val="auto"/>
          <w:sz w:val="32"/>
          <w:szCs w:val="32"/>
          <w:lang w:val="en-US" w:eastAsia="zh-CN"/>
        </w:rPr>
        <w:t>21</w:t>
      </w:r>
      <w:r>
        <w:rPr>
          <w:rFonts w:hint="eastAsia" w:ascii="仿宋_GB2312" w:hAnsi="仿宋_GB2312" w:eastAsia="仿宋_GB2312" w:cs="仿宋_GB2312"/>
          <w:color w:val="auto"/>
          <w:sz w:val="32"/>
          <w:szCs w:val="32"/>
        </w:rPr>
        <w:t>0余篇；电视宣传</w:t>
      </w:r>
      <w:r>
        <w:rPr>
          <w:rFonts w:hint="eastAsia" w:ascii="仿宋_GB2312" w:hAnsi="仿宋_GB2312" w:eastAsia="仿宋_GB2312" w:cs="仿宋_GB2312"/>
          <w:color w:val="auto"/>
          <w:sz w:val="32"/>
          <w:szCs w:val="32"/>
          <w:lang w:val="en-US" w:eastAsia="zh-CN"/>
        </w:rPr>
        <w:t>22</w:t>
      </w:r>
      <w:r>
        <w:rPr>
          <w:rFonts w:hint="eastAsia" w:ascii="仿宋_GB2312" w:hAnsi="仿宋_GB2312" w:eastAsia="仿宋_GB2312" w:cs="仿宋_GB2312"/>
          <w:color w:val="auto"/>
          <w:sz w:val="32"/>
          <w:szCs w:val="32"/>
        </w:rPr>
        <w:t>次；电台宣传</w:t>
      </w:r>
      <w:r>
        <w:rPr>
          <w:rFonts w:hint="eastAsia" w:ascii="仿宋_GB2312" w:hAnsi="仿宋_GB2312" w:eastAsia="仿宋_GB2312" w:cs="仿宋_GB2312"/>
          <w:color w:val="auto"/>
          <w:sz w:val="32"/>
          <w:szCs w:val="32"/>
          <w:lang w:val="en-US" w:eastAsia="zh-CN"/>
        </w:rPr>
        <w:t>22</w:t>
      </w:r>
      <w:r>
        <w:rPr>
          <w:rFonts w:hint="eastAsia" w:ascii="仿宋_GB2312" w:hAnsi="仿宋_GB2312" w:eastAsia="仿宋_GB2312" w:cs="仿宋_GB2312"/>
          <w:color w:val="auto"/>
          <w:sz w:val="32"/>
          <w:szCs w:val="32"/>
        </w:rPr>
        <w:t>00多次；血站微信公众号宣传报道</w:t>
      </w:r>
      <w:r>
        <w:rPr>
          <w:rFonts w:hint="eastAsia" w:ascii="仿宋_GB2312" w:hAnsi="仿宋_GB2312" w:eastAsia="仿宋_GB2312" w:cs="仿宋_GB2312"/>
          <w:color w:val="auto"/>
          <w:sz w:val="32"/>
          <w:szCs w:val="32"/>
          <w:lang w:val="en-US" w:eastAsia="zh-CN"/>
        </w:rPr>
        <w:t>200余</w:t>
      </w:r>
      <w:r>
        <w:rPr>
          <w:rFonts w:hint="eastAsia" w:ascii="仿宋_GB2312" w:hAnsi="仿宋_GB2312" w:eastAsia="仿宋_GB2312" w:cs="仿宋_GB2312"/>
          <w:color w:val="auto"/>
          <w:sz w:val="32"/>
          <w:szCs w:val="32"/>
        </w:rPr>
        <w:t>篇。同时，编辑拍摄《岳爱越有爱——印记2023》《心手相牵，共佑安康——岳阳市中心血站2023年工作掠影》和《感谢您，献血者》</w:t>
      </w:r>
      <w:r>
        <w:rPr>
          <w:rFonts w:hint="eastAsia" w:ascii="仿宋_GB2312" w:hAnsi="仿宋_GB2312" w:eastAsia="仿宋_GB2312" w:cs="仿宋_GB2312"/>
          <w:color w:val="auto"/>
          <w:sz w:val="32"/>
          <w:szCs w:val="32"/>
          <w:lang w:eastAsia="zh-CN"/>
        </w:rPr>
        <w:t>6·14</w:t>
      </w:r>
      <w:r>
        <w:rPr>
          <w:rFonts w:hint="eastAsia" w:ascii="仿宋_GB2312" w:hAnsi="仿宋_GB2312" w:eastAsia="仿宋_GB2312" w:cs="仿宋_GB2312"/>
          <w:color w:val="auto"/>
          <w:sz w:val="32"/>
          <w:szCs w:val="32"/>
        </w:rPr>
        <w:t>专题</w:t>
      </w:r>
      <w:r>
        <w:rPr>
          <w:rFonts w:ascii="仿宋_GB2312" w:hAnsi="仿宋_GB2312" w:eastAsia="仿宋_GB2312" w:cs="仿宋_GB2312"/>
          <w:color w:val="auto"/>
          <w:sz w:val="32"/>
          <w:szCs w:val="32"/>
        </w:rPr>
        <w:t>宣传片，</w:t>
      </w:r>
      <w:r>
        <w:rPr>
          <w:rFonts w:hint="eastAsia" w:ascii="仿宋_GB2312" w:hAnsi="仿宋_GB2312" w:eastAsia="仿宋_GB2312" w:cs="仿宋_GB2312"/>
          <w:color w:val="auto"/>
          <w:sz w:val="32"/>
          <w:szCs w:val="32"/>
        </w:rPr>
        <w:t>以</w:t>
      </w:r>
      <w:r>
        <w:rPr>
          <w:rFonts w:hint="eastAsia" w:ascii="仿宋_GB2312" w:hAnsi="仿宋_GB2312" w:eastAsia="仿宋_GB2312" w:cs="仿宋_GB2312"/>
          <w:color w:val="auto"/>
          <w:sz w:val="32"/>
          <w:szCs w:val="32"/>
          <w:lang w:val="en-US" w:eastAsia="zh-CN"/>
        </w:rPr>
        <w:t>画册</w:t>
      </w:r>
      <w:r>
        <w:rPr>
          <w:rFonts w:hint="eastAsia" w:ascii="仿宋_GB2312" w:hAnsi="仿宋_GB2312" w:eastAsia="仿宋_GB2312" w:cs="仿宋_GB2312"/>
          <w:color w:val="auto"/>
          <w:sz w:val="32"/>
          <w:szCs w:val="32"/>
        </w:rPr>
        <w:t>和视频</w:t>
      </w:r>
      <w:r>
        <w:rPr>
          <w:rFonts w:hint="eastAsia" w:ascii="仿宋_GB2312" w:hAnsi="仿宋_GB2312" w:eastAsia="仿宋_GB2312" w:cs="仿宋_GB2312"/>
          <w:color w:val="auto"/>
          <w:sz w:val="32"/>
          <w:szCs w:val="32"/>
          <w:lang w:val="en-US" w:eastAsia="zh-CN"/>
        </w:rPr>
        <w:t>方式</w:t>
      </w:r>
      <w:r>
        <w:rPr>
          <w:rFonts w:hint="eastAsia" w:ascii="仿宋_GB2312" w:hAnsi="仿宋_GB2312" w:eastAsia="仿宋_GB2312" w:cs="仿宋_GB2312"/>
          <w:color w:val="auto"/>
          <w:sz w:val="32"/>
          <w:szCs w:val="32"/>
        </w:rPr>
        <w:t>展示工作特色</w:t>
      </w:r>
      <w:r>
        <w:rPr>
          <w:rFonts w:hint="eastAsia" w:ascii="仿宋_GB2312" w:hAnsi="仿宋_GB2312" w:eastAsia="仿宋_GB2312" w:cs="仿宋_GB2312"/>
          <w:color w:val="auto"/>
          <w:sz w:val="32"/>
          <w:szCs w:val="32"/>
          <w:lang w:val="en-US" w:eastAsia="zh-CN"/>
        </w:rPr>
        <w:t>和</w:t>
      </w:r>
      <w:r>
        <w:rPr>
          <w:rFonts w:hint="eastAsia" w:ascii="仿宋_GB2312" w:hAnsi="仿宋_GB2312" w:eastAsia="仿宋_GB2312" w:cs="仿宋_GB2312"/>
          <w:color w:val="auto"/>
          <w:sz w:val="32"/>
          <w:szCs w:val="32"/>
        </w:rPr>
        <w:t>亮点</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让市民对无偿献血、用血安全以及血站公益性质等有更直观的认识和全面的了解。</w:t>
      </w:r>
      <w:r>
        <w:rPr>
          <w:rFonts w:hint="eastAsia" w:ascii="仿宋_GB2312" w:hAnsi="仿宋_GB2312" w:eastAsia="仿宋_GB2312" w:cs="仿宋_GB2312"/>
          <w:b w:val="0"/>
          <w:bCs w:val="0"/>
          <w:color w:val="auto"/>
          <w:sz w:val="32"/>
          <w:szCs w:val="32"/>
        </w:rPr>
        <w:t>二是</w:t>
      </w:r>
      <w:r>
        <w:rPr>
          <w:rFonts w:hint="eastAsia" w:ascii="仿宋_GB2312" w:hAnsi="仿宋_GB2312" w:eastAsia="仿宋_GB2312" w:cs="仿宋_GB2312"/>
          <w:b w:val="0"/>
          <w:bCs w:val="0"/>
          <w:color w:val="auto"/>
          <w:sz w:val="32"/>
          <w:szCs w:val="32"/>
          <w:lang w:val="en-US" w:eastAsia="zh-CN"/>
        </w:rPr>
        <w:t>造声势</w:t>
      </w:r>
      <w:r>
        <w:rPr>
          <w:rFonts w:hint="eastAsia" w:ascii="仿宋_GB2312" w:hAnsi="仿宋_GB2312" w:eastAsia="仿宋_GB2312" w:cs="仿宋_GB2312"/>
          <w:b w:val="0"/>
          <w:bCs w:val="0"/>
          <w:color w:val="auto"/>
          <w:sz w:val="32"/>
          <w:szCs w:val="32"/>
        </w:rPr>
        <w:t>。</w:t>
      </w:r>
      <w:r>
        <w:rPr>
          <w:rFonts w:hint="eastAsia" w:ascii="仿宋_GB2312" w:hAnsi="仿宋_GB2312" w:eastAsia="仿宋_GB2312" w:cs="仿宋_GB2312"/>
          <w:color w:val="auto"/>
          <w:sz w:val="32"/>
          <w:szCs w:val="32"/>
        </w:rPr>
        <w:t>在各行业</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各</w:t>
      </w:r>
      <w:r>
        <w:rPr>
          <w:rFonts w:hint="eastAsia" w:ascii="仿宋_GB2312" w:hAnsi="仿宋_GB2312" w:eastAsia="仿宋_GB2312" w:cs="仿宋_GB2312"/>
          <w:color w:val="auto"/>
          <w:sz w:val="32"/>
          <w:szCs w:val="32"/>
        </w:rPr>
        <w:t>系统、高等院校等开展献血知识宣讲</w:t>
      </w:r>
      <w:r>
        <w:rPr>
          <w:rFonts w:hint="eastAsia" w:ascii="仿宋_GB2312" w:hAnsi="仿宋_GB2312" w:eastAsia="仿宋_GB2312" w:cs="仿宋_GB2312"/>
          <w:color w:val="auto"/>
          <w:sz w:val="32"/>
          <w:szCs w:val="32"/>
          <w:lang w:val="en-US" w:eastAsia="zh-CN"/>
        </w:rPr>
        <w:t>20余</w:t>
      </w:r>
      <w:r>
        <w:rPr>
          <w:rFonts w:hint="eastAsia" w:ascii="仿宋_GB2312" w:hAnsi="仿宋_GB2312" w:eastAsia="仿宋_GB2312" w:cs="仿宋_GB2312"/>
          <w:color w:val="auto"/>
          <w:sz w:val="32"/>
          <w:szCs w:val="32"/>
        </w:rPr>
        <w:t>场，开展公众开放日</w:t>
      </w:r>
      <w:r>
        <w:rPr>
          <w:rFonts w:hint="eastAsia" w:ascii="仿宋_GB2312" w:hAnsi="仿宋_GB2312" w:eastAsia="仿宋_GB2312" w:cs="仿宋_GB2312"/>
          <w:color w:val="auto"/>
          <w:sz w:val="32"/>
          <w:szCs w:val="32"/>
          <w:lang w:val="en-US" w:eastAsia="zh-CN"/>
        </w:rPr>
        <w:t>10</w:t>
      </w:r>
      <w:r>
        <w:rPr>
          <w:rFonts w:hint="eastAsia" w:ascii="仿宋_GB2312" w:hAnsi="仿宋_GB2312" w:eastAsia="仿宋_GB2312" w:cs="仿宋_GB2312"/>
          <w:color w:val="auto"/>
          <w:sz w:val="32"/>
          <w:szCs w:val="32"/>
        </w:rPr>
        <w:t>次，</w:t>
      </w:r>
      <w:r>
        <w:rPr>
          <w:rFonts w:hint="eastAsia" w:ascii="仿宋_GB2312" w:hAnsi="仿宋_GB2312" w:eastAsia="仿宋_GB2312" w:cs="仿宋_GB2312"/>
          <w:color w:val="auto"/>
          <w:sz w:val="32"/>
          <w:szCs w:val="40"/>
          <w:lang w:val="en-US" w:eastAsia="zh-CN"/>
        </w:rPr>
        <w:t>社会各界近600人近距离了解“一袋血的旅程”。</w:t>
      </w:r>
      <w:r>
        <w:rPr>
          <w:rFonts w:hint="eastAsia" w:ascii="仿宋_GB2312" w:hAnsi="仿宋_GB2312" w:eastAsia="仿宋_GB2312" w:cs="仿宋_GB2312"/>
          <w:color w:val="auto"/>
          <w:sz w:val="32"/>
          <w:szCs w:val="32"/>
        </w:rPr>
        <w:t>组织的“红色传精神，热血暖三湘”“寒冬献热血，爱心暖巴陵”“</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医</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心永向党，热血践初心”等献血活动卓有成效。“学雷锋、献热血、讲文明、树新风”系列活动</w:t>
      </w:r>
      <w:r>
        <w:rPr>
          <w:rFonts w:hint="eastAsia" w:ascii="仿宋_GB2312" w:hAnsi="仿宋_GB2312" w:eastAsia="仿宋_GB2312" w:cs="仿宋_GB2312"/>
          <w:color w:val="auto"/>
          <w:sz w:val="32"/>
          <w:szCs w:val="32"/>
          <w:lang w:val="en-US" w:eastAsia="zh-CN"/>
        </w:rPr>
        <w:t>期间，市委常委、市委宣传部部长刘启峰看望慰问献血者并挽袖献血；</w:t>
      </w:r>
      <w:r>
        <w:rPr>
          <w:rFonts w:hint="eastAsia" w:ascii="仿宋_GB2312" w:hAnsi="仿宋_GB2312" w:eastAsia="仿宋_GB2312" w:cs="仿宋_GB2312"/>
          <w:color w:val="auto"/>
          <w:sz w:val="32"/>
          <w:szCs w:val="32"/>
        </w:rPr>
        <w:t>6·14世界献血者日系列活动成功举办，副市长张世愚亲自出镜，向全市广大献血者致以最诚挚的感谢，取得了良好的宣传和社会效应。</w:t>
      </w:r>
      <w:r>
        <w:rPr>
          <w:rFonts w:hint="eastAsia" w:ascii="仿宋_GB2312" w:hAnsi="仿宋_GB2312" w:eastAsia="仿宋_GB2312" w:cs="仿宋_GB2312"/>
          <w:b w:val="0"/>
          <w:bCs w:val="0"/>
          <w:color w:val="auto"/>
          <w:sz w:val="32"/>
          <w:szCs w:val="32"/>
          <w:lang w:val="en-US" w:eastAsia="zh-CN"/>
        </w:rPr>
        <w:t>三是勤招募。</w:t>
      </w:r>
      <w:r>
        <w:rPr>
          <w:rFonts w:hint="eastAsia" w:ascii="仿宋_GB2312" w:hAnsi="仿宋_GB2312" w:eastAsia="仿宋_GB2312" w:cs="仿宋_GB2312"/>
          <w:color w:val="auto"/>
          <w:sz w:val="32"/>
          <w:szCs w:val="32"/>
        </w:rPr>
        <w:t>通过定期回访、举办专属活动等方式，增强固定献血者的忠诚度与归属感</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稳定</w:t>
      </w:r>
      <w:r>
        <w:rPr>
          <w:rFonts w:hint="eastAsia" w:ascii="仿宋_GB2312" w:hAnsi="仿宋_GB2312" w:eastAsia="仿宋_GB2312" w:cs="仿宋_GB2312"/>
          <w:color w:val="auto"/>
          <w:sz w:val="32"/>
          <w:szCs w:val="32"/>
        </w:rPr>
        <w:t>固定献血者队伍和稀有血型献血者队伍。</w:t>
      </w:r>
      <w:r>
        <w:rPr>
          <w:rFonts w:hint="eastAsia" w:ascii="仿宋_GB2312" w:hAnsi="仿宋_GB2312" w:eastAsia="仿宋_GB2312" w:cs="仿宋_GB2312"/>
          <w:color w:val="auto"/>
          <w:sz w:val="32"/>
          <w:szCs w:val="32"/>
          <w:lang w:val="en-US" w:eastAsia="zh-CN"/>
        </w:rPr>
        <w:t>同时，通过积极沟通对接，新增爱心</w:t>
      </w:r>
      <w:r>
        <w:rPr>
          <w:rFonts w:hint="eastAsia" w:ascii="仿宋_GB2312" w:hAnsi="仿宋_GB2312" w:eastAsia="仿宋_GB2312" w:cs="仿宋_GB2312"/>
          <w:color w:val="auto"/>
          <w:sz w:val="32"/>
          <w:szCs w:val="32"/>
        </w:rPr>
        <w:t>企业6家、</w:t>
      </w:r>
      <w:r>
        <w:rPr>
          <w:rFonts w:hint="eastAsia" w:ascii="仿宋_GB2312" w:hAnsi="仿宋_GB2312" w:eastAsia="仿宋_GB2312" w:cs="仿宋_GB2312"/>
          <w:color w:val="auto"/>
          <w:sz w:val="32"/>
          <w:szCs w:val="32"/>
          <w:lang w:val="en-US" w:eastAsia="zh-CN"/>
        </w:rPr>
        <w:t>爱心</w:t>
      </w:r>
      <w:r>
        <w:rPr>
          <w:rFonts w:hint="eastAsia" w:ascii="仿宋_GB2312" w:hAnsi="仿宋_GB2312" w:eastAsia="仿宋_GB2312" w:cs="仿宋_GB2312"/>
          <w:color w:val="auto"/>
          <w:sz w:val="32"/>
          <w:szCs w:val="32"/>
        </w:rPr>
        <w:t>商场</w:t>
      </w:r>
      <w:r>
        <w:rPr>
          <w:rFonts w:hint="eastAsia" w:ascii="仿宋_GB2312" w:hAnsi="仿宋_GB2312" w:eastAsia="仿宋_GB2312" w:cs="仿宋_GB2312"/>
          <w:color w:val="auto"/>
          <w:sz w:val="32"/>
          <w:szCs w:val="32"/>
          <w:lang w:val="en-US" w:eastAsia="zh-CN"/>
        </w:rPr>
        <w:t>4座</w:t>
      </w: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lang w:val="en-US" w:eastAsia="zh-CN"/>
        </w:rPr>
        <w:t>团体</w:t>
      </w:r>
      <w:r>
        <w:rPr>
          <w:rFonts w:hint="eastAsia" w:ascii="仿宋_GB2312" w:hAnsi="仿宋_GB2312" w:eastAsia="仿宋_GB2312" w:cs="仿宋_GB2312"/>
          <w:color w:val="auto"/>
          <w:sz w:val="32"/>
          <w:szCs w:val="32"/>
        </w:rPr>
        <w:t>单位</w:t>
      </w:r>
      <w:r>
        <w:rPr>
          <w:rFonts w:hint="eastAsia" w:ascii="仿宋_GB2312" w:hAnsi="仿宋_GB2312" w:eastAsia="仿宋_GB2312" w:cs="仿宋_GB2312"/>
          <w:color w:val="auto"/>
          <w:sz w:val="32"/>
          <w:szCs w:val="32"/>
          <w:lang w:val="en-US" w:eastAsia="zh-CN"/>
        </w:rPr>
        <w:t>3个</w:t>
      </w: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lang w:val="en-US" w:eastAsia="zh-CN"/>
        </w:rPr>
        <w:t>新组建</w:t>
      </w:r>
      <w:r>
        <w:rPr>
          <w:rFonts w:hint="eastAsia" w:ascii="仿宋_GB2312" w:hAnsi="仿宋_GB2312" w:eastAsia="仿宋_GB2312" w:cs="仿宋_GB2312"/>
          <w:color w:val="auto"/>
          <w:sz w:val="32"/>
          <w:szCs w:val="32"/>
        </w:rPr>
        <w:t>无偿献血志愿者服务中队1个。</w:t>
      </w:r>
      <w:r>
        <w:rPr>
          <w:rFonts w:hint="eastAsia" w:ascii="仿宋_GB2312" w:hAnsi="仿宋_GB2312" w:eastAsia="仿宋_GB2312" w:cs="仿宋_GB2312"/>
          <w:color w:val="auto"/>
          <w:sz w:val="32"/>
          <w:szCs w:val="32"/>
          <w:lang w:val="en-US" w:eastAsia="zh-CN"/>
        </w:rPr>
        <w:t>全年56649</w:t>
      </w:r>
      <w:r>
        <w:rPr>
          <w:rFonts w:hint="eastAsia" w:ascii="仿宋_GB2312" w:hAnsi="仿宋_GB2312" w:eastAsia="仿宋_GB2312" w:cs="仿宋_GB2312"/>
          <w:color w:val="auto"/>
          <w:sz w:val="32"/>
          <w:szCs w:val="32"/>
        </w:rPr>
        <w:t>人次</w:t>
      </w:r>
      <w:r>
        <w:rPr>
          <w:rFonts w:hint="eastAsia" w:ascii="仿宋_GB2312" w:hAnsi="仿宋_GB2312" w:eastAsia="仿宋_GB2312" w:cs="仿宋_GB2312"/>
          <w:color w:val="auto"/>
          <w:sz w:val="32"/>
          <w:szCs w:val="32"/>
          <w:lang w:val="en-US" w:eastAsia="zh-CN"/>
        </w:rPr>
        <w:t>挽袖献血</w:t>
      </w: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lang w:val="en-US" w:eastAsia="zh-CN"/>
        </w:rPr>
        <w:t>采血量</w:t>
      </w:r>
      <w:r>
        <w:rPr>
          <w:rFonts w:hint="eastAsia" w:ascii="仿宋_GB2312" w:hAnsi="仿宋_GB2312" w:eastAsia="仿宋_GB2312" w:cs="仿宋_GB2312"/>
          <w:color w:val="auto"/>
          <w:sz w:val="32"/>
          <w:szCs w:val="32"/>
        </w:rPr>
        <w:t>21.23吨。</w:t>
      </w:r>
    </w:p>
    <w:p w14:paraId="53FCE85B">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楷体_GB2312" w:hAnsi="楷体_GB2312" w:eastAsia="楷体_GB2312" w:cs="楷体_GB2312"/>
          <w:b w:val="0"/>
          <w:bCs w:val="0"/>
          <w:color w:val="auto"/>
          <w:sz w:val="32"/>
          <w:szCs w:val="32"/>
          <w:lang w:val="en-US" w:eastAsia="zh-CN"/>
        </w:rPr>
        <w:t>坚定不移优服务，惠民生。一是优化采血环境。</w:t>
      </w:r>
      <w:r>
        <w:rPr>
          <w:rFonts w:hint="eastAsia" w:ascii="仿宋_GB2312" w:hAnsi="仿宋_GB2312" w:eastAsia="仿宋_GB2312" w:cs="仿宋_GB2312"/>
          <w:color w:val="auto"/>
          <w:sz w:val="32"/>
          <w:szCs w:val="32"/>
          <w:lang w:val="en-US" w:eastAsia="zh-CN"/>
        </w:rPr>
        <w:t>新增采血车辆停靠点1个，调整优化移动献血屋停靠点1个，采血车和采血房车更新正在紧锣密鼓实施中。特别是平江水灾期间，采血车秒变“爱心车”，得到人民群众的高度认可。</w:t>
      </w:r>
      <w:r>
        <w:rPr>
          <w:rFonts w:hint="eastAsia" w:ascii="仿宋_GB2312" w:hAnsi="仿宋_GB2312" w:eastAsia="仿宋_GB2312" w:cs="仿宋_GB2312"/>
          <w:b w:val="0"/>
          <w:bCs w:val="0"/>
          <w:color w:val="auto"/>
          <w:sz w:val="32"/>
          <w:szCs w:val="32"/>
          <w:lang w:val="en-US" w:eastAsia="zh-CN"/>
        </w:rPr>
        <w:t>二是提升储血能力</w:t>
      </w:r>
      <w:r>
        <w:rPr>
          <w:rFonts w:hint="eastAsia" w:ascii="仿宋_GB2312" w:hAnsi="仿宋_GB2312" w:eastAsia="仿宋_GB2312" w:cs="仿宋_GB2312"/>
          <w:color w:val="auto"/>
          <w:sz w:val="32"/>
          <w:szCs w:val="32"/>
          <w:lang w:val="en-US" w:eastAsia="zh-CN"/>
        </w:rPr>
        <w:t>。对血库实施了智能化升级改造，对血库的储存设备进行了更新，引入了先进的智能血浆冷冻设备，升级了红细胞冷藏库。血液储存区域划分更加合理，血库的工作流程和空间布局更加优化，血液出入库工作更加规范。全年共供应临床红细胞袋40357袋72152个单位，冷沉淀26764袋48407个单位，单采血小板34375袋34356个治疗量，血浆45405袋65533.4个单位。</w:t>
      </w:r>
      <w:r>
        <w:rPr>
          <w:rFonts w:hint="eastAsia" w:ascii="仿宋_GB2312" w:hAnsi="仿宋_GB2312" w:eastAsia="仿宋_GB2312" w:cs="仿宋_GB2312"/>
          <w:b w:val="0"/>
          <w:bCs w:val="0"/>
          <w:color w:val="auto"/>
          <w:sz w:val="32"/>
          <w:szCs w:val="32"/>
          <w:lang w:val="en-US" w:eastAsia="zh-CN"/>
        </w:rPr>
        <w:t>三是及时用血报销</w:t>
      </w:r>
      <w:r>
        <w:rPr>
          <w:rFonts w:hint="eastAsia" w:ascii="仿宋_GB2312" w:hAnsi="仿宋_GB2312" w:eastAsia="仿宋_GB2312" w:cs="仿宋_GB2312"/>
          <w:color w:val="auto"/>
          <w:sz w:val="32"/>
          <w:szCs w:val="32"/>
          <w:lang w:val="en-US" w:eastAsia="zh-CN"/>
        </w:rPr>
        <w:t>。热诚服务，认真做好了无偿献血、免费用血报销工作，全年共为464人报销61万余元，其中在湖南省血液管理综合平台报销178人，在微信公众号报销161人。对705位血液检测结果不合格的无偿献血志愿者给予安慰并耐心作出合理解释及疏导。</w:t>
      </w:r>
      <w:r>
        <w:rPr>
          <w:rFonts w:hint="eastAsia" w:ascii="仿宋_GB2312" w:hAnsi="仿宋_GB2312" w:eastAsia="仿宋_GB2312" w:cs="仿宋_GB2312"/>
          <w:b w:val="0"/>
          <w:bCs w:val="0"/>
          <w:color w:val="auto"/>
          <w:sz w:val="32"/>
          <w:szCs w:val="32"/>
          <w:lang w:val="en-US" w:eastAsia="zh-CN"/>
        </w:rPr>
        <w:t>四是用心输血督导。</w:t>
      </w:r>
      <w:r>
        <w:rPr>
          <w:rFonts w:hint="eastAsia" w:ascii="仿宋_GB2312" w:hAnsi="仿宋_GB2312" w:eastAsia="仿宋_GB2312" w:cs="仿宋_GB2312"/>
          <w:color w:val="auto"/>
          <w:sz w:val="32"/>
          <w:szCs w:val="32"/>
          <w:lang w:val="en-US" w:eastAsia="zh-CN"/>
        </w:rPr>
        <w:t>在省、市卫健委医政医管处的指导下，联合市血液质控中心加强医疗用血调研督导；举办输血技术培训班，邀请李碧娟等专家进行讲座，提高我市医疗机构输血技术水平。开展临床输血指导113次，完成临床疑难输血标本的检测491例，血小板抗体检测278例，血小板血清学配型29例，新增130个HLA/HPA基因分型检测数据库，与医院输血科或临床医生及时沟通，为患者制定最有效的输血方案，避免了不良输血反应发生。</w:t>
      </w:r>
      <w:r>
        <w:rPr>
          <w:rFonts w:hint="eastAsia" w:ascii="仿宋_GB2312" w:hAnsi="仿宋_GB2312" w:eastAsia="仿宋_GB2312" w:cs="仿宋_GB2312"/>
          <w:b w:val="0"/>
          <w:bCs w:val="0"/>
          <w:color w:val="auto"/>
          <w:sz w:val="32"/>
          <w:szCs w:val="32"/>
          <w:lang w:val="en-US" w:eastAsia="zh-CN"/>
        </w:rPr>
        <w:t>五是“三免”政策落地</w:t>
      </w:r>
      <w:r>
        <w:rPr>
          <w:rFonts w:hint="eastAsia" w:ascii="仿宋_GB2312" w:hAnsi="仿宋_GB2312" w:eastAsia="仿宋_GB2312" w:cs="仿宋_GB2312"/>
          <w:color w:val="auto"/>
          <w:sz w:val="32"/>
          <w:szCs w:val="32"/>
          <w:lang w:val="en-US" w:eastAsia="zh-CN"/>
        </w:rPr>
        <w:t>。通过与市政府、市卫健委、市国资委、市交通局，市文旅广电局、市红十字会、市城投公司、市公交集团等单位的汇报、沟通、协调，《关于落实无偿献血获奖者“三免”优待政策有关问题的会议纪要》（</w:t>
      </w:r>
      <w:r>
        <w:rPr>
          <w:rFonts w:ascii="仿宋_GB2312" w:hAnsi="宋体" w:eastAsia="仿宋_GB2312" w:cs="仿宋_GB2312"/>
          <w:color w:val="auto"/>
          <w:kern w:val="0"/>
          <w:sz w:val="31"/>
          <w:szCs w:val="31"/>
          <w:lang w:val="en-US" w:eastAsia="zh-CN" w:bidi="ar"/>
        </w:rPr>
        <w:t>岳府阅〔2024〕10 号</w:t>
      </w:r>
      <w:r>
        <w:rPr>
          <w:rFonts w:hint="eastAsia" w:ascii="仿宋_GB2312" w:hAnsi="仿宋_GB2312" w:eastAsia="仿宋_GB2312" w:cs="仿宋_GB2312"/>
          <w:color w:val="auto"/>
          <w:sz w:val="32"/>
          <w:szCs w:val="32"/>
          <w:lang w:val="en-US" w:eastAsia="zh-CN"/>
        </w:rPr>
        <w:t>）已印发，目前已进入对象公示阶段。“三免”政策在我市的落地，是对无偿献血者、志愿者的实实在在的激励，将对无偿献血工作开展起到积极的推动作用。</w:t>
      </w:r>
    </w:p>
    <w:p w14:paraId="5FC00F1E">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另外，夏季洪灾期间，及时组织抗洪抢险突击队，深入灾区一线参与抗洪抢险行动。认真做好单位乡村振兴联系点帮扶事宜，落实帮扶资金5万元，充分展示了血站作为社会公益机构的责任担当。</w:t>
      </w:r>
    </w:p>
    <w:p w14:paraId="08E07A37">
      <w:pPr>
        <w:keepNext w:val="0"/>
        <w:keepLines w:val="0"/>
        <w:pageBreakBefore w:val="0"/>
        <w:widowControl w:val="0"/>
        <w:kinsoku/>
        <w:wordWrap/>
        <w:overflowPunct/>
        <w:topLinePunct w:val="0"/>
        <w:autoSpaceDE/>
        <w:autoSpaceDN/>
        <w:bidi w:val="0"/>
        <w:spacing w:line="600" w:lineRule="exact"/>
        <w:ind w:firstLine="640" w:firstLineChars="200"/>
        <w:textAlignment w:val="auto"/>
        <w:rPr>
          <w:rFonts w:hint="default" w:ascii="仿宋_GB2312" w:hAnsi="仿宋_GB2312" w:eastAsia="仿宋_GB2312" w:cs="仿宋_GB2312"/>
          <w:color w:val="auto"/>
          <w:sz w:val="32"/>
          <w:szCs w:val="32"/>
          <w:lang w:val="en-US" w:eastAsia="zh-CN"/>
        </w:rPr>
      </w:pPr>
      <w:r>
        <w:rPr>
          <w:rFonts w:hint="eastAsia" w:ascii="楷体_GB2312" w:hAnsi="楷体_GB2312" w:eastAsia="楷体_GB2312" w:cs="楷体_GB2312"/>
          <w:b w:val="0"/>
          <w:bCs w:val="0"/>
          <w:color w:val="auto"/>
          <w:sz w:val="32"/>
          <w:szCs w:val="32"/>
          <w:lang w:val="en-US" w:eastAsia="zh-CN"/>
        </w:rPr>
        <w:t>慎终如始抓安全，守底线。一是抓质量，守好血液安全红线。</w:t>
      </w:r>
      <w:r>
        <w:rPr>
          <w:rFonts w:hint="eastAsia" w:ascii="仿宋_GB2312" w:hAnsi="仿宋_GB2312" w:eastAsia="仿宋_GB2312" w:cs="仿宋_GB2312"/>
          <w:color w:val="auto"/>
          <w:sz w:val="32"/>
          <w:szCs w:val="32"/>
          <w:lang w:val="en-US" w:eastAsia="zh-CN"/>
        </w:rPr>
        <w:t>我们持续改进、加强血液检测全过程质量控制和管理，</w:t>
      </w:r>
      <w:r>
        <w:rPr>
          <w:rFonts w:hint="eastAsia" w:ascii="仿宋_GB2312" w:hAnsi="仿宋_GB2312" w:eastAsia="仿宋_GB2312" w:cs="仿宋_GB2312"/>
          <w:b w:val="0"/>
          <w:bCs w:val="0"/>
          <w:color w:val="auto"/>
          <w:sz w:val="32"/>
          <w:szCs w:val="32"/>
          <w:lang w:val="en-US" w:eastAsia="zh-CN"/>
        </w:rPr>
        <w:t>对</w:t>
      </w:r>
      <w:r>
        <w:rPr>
          <w:rFonts w:hint="eastAsia" w:ascii="仿宋_GB2312" w:hAnsi="仿宋_GB2312" w:eastAsia="仿宋_GB2312" w:cs="仿宋_GB2312"/>
          <w:color w:val="auto"/>
          <w:sz w:val="32"/>
          <w:szCs w:val="32"/>
          <w:lang w:val="en-US" w:eastAsia="zh-CN"/>
        </w:rPr>
        <w:t>采供血工作一线监督检查质量体系运行情况234余次，开出纠正/预防措施9条，发现问题均根据相关要求及时纠正，并制定切实有效的预防措施，相应的差错均在规定期限内得到有效整改并及时关闭。全年血液质量检测准确率100%，成功排查报废不安全血液662份，参加国家、省临检中心的室间质评结果符合率均为100%，全年无一例质量安全差错事故发生，再次荣获“省血液安全技术核查优胜单位”。</w:t>
      </w:r>
      <w:r>
        <w:rPr>
          <w:rFonts w:hint="eastAsia" w:ascii="仿宋_GB2312" w:hAnsi="仿宋_GB2312" w:eastAsia="仿宋_GB2312" w:cs="仿宋_GB2312"/>
          <w:b w:val="0"/>
          <w:bCs w:val="0"/>
          <w:color w:val="auto"/>
          <w:sz w:val="32"/>
          <w:szCs w:val="32"/>
          <w:lang w:val="en-US" w:eastAsia="zh-CN"/>
        </w:rPr>
        <w:t>二是控风险，筑牢安全生产底线。</w:t>
      </w:r>
      <w:r>
        <w:rPr>
          <w:rFonts w:hint="eastAsia" w:ascii="仿宋_GB2312" w:hAnsi="仿宋_GB2312" w:eastAsia="仿宋_GB2312" w:cs="仿宋_GB2312"/>
          <w:color w:val="auto"/>
          <w:sz w:val="32"/>
          <w:szCs w:val="32"/>
          <w:lang w:val="en-US" w:eastAsia="zh-CN"/>
        </w:rPr>
        <w:t>开展消防安全业务知识培训，组织现场消防、停电应急演练，</w:t>
      </w:r>
      <w:r>
        <w:rPr>
          <w:rFonts w:hint="eastAsia" w:ascii="仿宋_GB2312" w:hAnsi="仿宋" w:eastAsia="仿宋_GB2312"/>
          <w:snapToGrid w:val="0"/>
          <w:color w:val="auto"/>
          <w:kern w:val="0"/>
          <w:sz w:val="32"/>
          <w:szCs w:val="32"/>
        </w:rPr>
        <w:t>提升全站工作人员安全生产意识和安全事故防范技能，提升应急能力。</w:t>
      </w:r>
      <w:r>
        <w:rPr>
          <w:rFonts w:hint="eastAsia" w:ascii="仿宋_GB2312" w:hAnsi="仿宋_GB2312" w:eastAsia="仿宋_GB2312" w:cs="仿宋_GB2312"/>
          <w:color w:val="auto"/>
          <w:sz w:val="32"/>
          <w:szCs w:val="32"/>
          <w:lang w:val="en-US" w:eastAsia="zh-CN"/>
        </w:rPr>
        <w:t>开展安全生产风险点巡查102次，定期检查站内各处设施设备，并及时维护，发现隐患一一整改。节假日前，常态化开展安全生产督察，站领导不定期带队督导，车辆安全行驶40多万公里，全年无重大安全责任事故发生。</w:t>
      </w:r>
      <w:r>
        <w:rPr>
          <w:rFonts w:hint="eastAsia" w:ascii="仿宋_GB2312" w:hAnsi="仿宋_GB2312" w:eastAsia="仿宋_GB2312" w:cs="仿宋_GB2312"/>
          <w:b w:val="0"/>
          <w:bCs w:val="0"/>
          <w:color w:val="auto"/>
          <w:sz w:val="32"/>
          <w:szCs w:val="32"/>
          <w:lang w:val="en-US" w:eastAsia="zh-CN"/>
        </w:rPr>
        <w:t>三是抓研判，守好公共安全防线。</w:t>
      </w:r>
      <w:r>
        <w:rPr>
          <w:rFonts w:hint="eastAsia" w:ascii="仿宋_GB2312" w:hAnsi="仿宋_GB2312" w:eastAsia="仿宋_GB2312" w:cs="仿宋_GB2312"/>
          <w:color w:val="auto"/>
          <w:sz w:val="32"/>
          <w:szCs w:val="32"/>
          <w:lang w:val="en-US" w:eastAsia="zh-CN"/>
        </w:rPr>
        <w:t>制订《严防极端案件 维护社会稳定工作方案》，组织开展涉稳矛盾纠纷工作排查，加强风险评估和信息通报预警，排查隐患5项，对排查出的隐患逐一研判、逐一分析、提出对策、建立台账，明确化解责任人。今年来，接到市长信箱、信访、12345等投诉17件，解决17件。顺利处理了原汨罗机采献血联络员上访问题，维护了单位的稳定和发展。</w:t>
      </w:r>
    </w:p>
    <w:p w14:paraId="41C43D58">
      <w:pPr>
        <w:keepNext w:val="0"/>
        <w:keepLines w:val="0"/>
        <w:pageBreakBefore w:val="0"/>
        <w:kinsoku/>
        <w:wordWrap/>
        <w:overflowPunct/>
        <w:topLinePunct w:val="0"/>
        <w:autoSpaceDE/>
        <w:autoSpaceDN/>
        <w:bidi w:val="0"/>
        <w:adjustRightInd w:val="0"/>
        <w:snapToGrid w:val="0"/>
        <w:spacing w:line="600" w:lineRule="exact"/>
        <w:ind w:left="0" w:leftChars="0" w:firstLine="640" w:firstLineChars="200"/>
        <w:textAlignment w:val="auto"/>
        <w:rPr>
          <w:rFonts w:hint="eastAsia" w:ascii="仿宋_GB2312" w:hAnsi="仿宋_GB2312" w:eastAsia="仿宋_GB2312" w:cs="仿宋_GB2312"/>
          <w:color w:val="auto"/>
          <w:sz w:val="32"/>
          <w:szCs w:val="32"/>
        </w:rPr>
      </w:pPr>
      <w:r>
        <w:rPr>
          <w:rFonts w:hint="eastAsia" w:ascii="楷体_GB2312" w:hAnsi="楷体_GB2312" w:eastAsia="楷体_GB2312" w:cs="楷体_GB2312"/>
          <w:b w:val="0"/>
          <w:bCs w:val="0"/>
          <w:color w:val="auto"/>
          <w:sz w:val="32"/>
          <w:szCs w:val="32"/>
          <w:lang w:val="en-US" w:eastAsia="zh-CN"/>
        </w:rPr>
        <w:t>倾心尽力重关怀，促发展。</w:t>
      </w:r>
      <w:r>
        <w:rPr>
          <w:rFonts w:hint="eastAsia" w:ascii="仿宋_GB2312" w:hAnsi="仿宋_GB2312" w:eastAsia="仿宋_GB2312" w:cs="仿宋_GB2312"/>
          <w:color w:val="auto"/>
          <w:sz w:val="32"/>
          <w:szCs w:val="32"/>
          <w:lang w:val="en-US" w:eastAsia="zh-CN"/>
        </w:rPr>
        <w:t>及时了解掌握干部职工的所思所想，加强人文关怀，连续举办</w:t>
      </w:r>
      <w:r>
        <w:rPr>
          <w:rFonts w:ascii="仿宋_GB2312" w:eastAsia="仿宋_GB2312"/>
          <w:snapToGrid w:val="0"/>
          <w:color w:val="auto"/>
          <w:kern w:val="0"/>
          <w:sz w:val="32"/>
          <w:szCs w:val="32"/>
        </w:rPr>
        <w:t>暑期爱</w:t>
      </w:r>
      <w:r>
        <w:rPr>
          <w:rFonts w:hint="eastAsia" w:ascii="仿宋_GB2312" w:eastAsia="仿宋_GB2312"/>
          <w:snapToGrid w:val="0"/>
          <w:color w:val="auto"/>
          <w:sz w:val="32"/>
          <w:lang w:val="en-US" w:eastAsia="zh-CN"/>
        </w:rPr>
        <w:t>心托管班，</w:t>
      </w:r>
      <w:r>
        <w:rPr>
          <w:rFonts w:hint="eastAsia" w:ascii="仿宋_GB2312" w:hAnsi="仿宋_GB2312" w:eastAsia="仿宋_GB2312" w:cs="仿宋_GB2312"/>
          <w:color w:val="auto"/>
          <w:sz w:val="32"/>
          <w:szCs w:val="40"/>
          <w:lang w:val="en-US" w:eastAsia="zh-CN"/>
        </w:rPr>
        <w:t>提供专业、优质、温馨的体检服务，在新年、“七一”等节日，对干部职工进行走访慰问，</w:t>
      </w:r>
      <w:r>
        <w:rPr>
          <w:rFonts w:hint="eastAsia" w:ascii="仿宋_GB2312" w:hAnsi="仿宋_GB2312" w:eastAsia="仿宋_GB2312" w:cs="仿宋_GB2312"/>
          <w:b w:val="0"/>
          <w:bCs w:val="0"/>
          <w:color w:val="auto"/>
          <w:sz w:val="32"/>
          <w:szCs w:val="32"/>
          <w:lang w:val="en-US" w:eastAsia="zh-CN"/>
        </w:rPr>
        <w:t>进一步提升了员工归属感</w:t>
      </w:r>
      <w:r>
        <w:rPr>
          <w:rFonts w:hint="eastAsia" w:ascii="仿宋_GB2312" w:hAnsi="仿宋_GB2312" w:eastAsia="仿宋_GB2312" w:cs="仿宋_GB2312"/>
          <w:color w:val="auto"/>
          <w:sz w:val="32"/>
          <w:szCs w:val="32"/>
          <w:lang w:val="en-US" w:eastAsia="zh-CN"/>
        </w:rPr>
        <w:t>。组织开展气排球、健步行、拔河等文体活动，丰富员工业余文化生活，在湖南省采供血机构无偿献血科普展演大赛中我站选送的《只想做个好人》在众多节目脱颖而出，荣获二等奖；积极参与“湖南省采供血机构第三届“梦想·赋能杯”气排球比赛，展现了岳阳血站人的良好精神面貌，</w:t>
      </w:r>
      <w:r>
        <w:rPr>
          <w:rFonts w:hint="eastAsia" w:ascii="仿宋_GB2312" w:hAnsi="仿宋_GB2312" w:eastAsia="仿宋_GB2312" w:cs="仿宋_GB2312"/>
          <w:b w:val="0"/>
          <w:bCs w:val="0"/>
          <w:color w:val="auto"/>
          <w:sz w:val="32"/>
          <w:szCs w:val="32"/>
          <w:lang w:val="en-US" w:eastAsia="zh-CN"/>
        </w:rPr>
        <w:t>进一步提升了员工幸福感</w:t>
      </w:r>
      <w:r>
        <w:rPr>
          <w:rFonts w:hint="eastAsia" w:ascii="仿宋_GB2312" w:hAnsi="仿宋_GB2312" w:eastAsia="仿宋_GB2312" w:cs="仿宋_GB2312"/>
          <w:color w:val="auto"/>
          <w:sz w:val="32"/>
          <w:szCs w:val="32"/>
          <w:lang w:val="en-US" w:eastAsia="zh-CN"/>
        </w:rPr>
        <w:t>。</w:t>
      </w:r>
      <w:r>
        <w:rPr>
          <w:rFonts w:hint="eastAsia" w:ascii="仿宋_GB2312" w:hAnsi="仿宋_GB2312" w:eastAsia="仿宋_GB2312" w:cs="仿宋_GB2312"/>
          <w:color w:val="auto"/>
          <w:sz w:val="32"/>
          <w:szCs w:val="40"/>
          <w:lang w:val="en-US" w:eastAsia="zh-CN"/>
        </w:rPr>
        <w:t>全年采血共21.23吨，保障了全市医疗临床血液供给，造血干细胞累计成功捐献507例，稳居全国地级市第一。各项中心工作顺利推进，全站工作大局和谐稳定，</w:t>
      </w:r>
      <w:r>
        <w:rPr>
          <w:rFonts w:hint="eastAsia" w:ascii="仿宋_GB2312" w:hAnsi="仿宋_GB2312" w:eastAsia="仿宋_GB2312" w:cs="仿宋_GB2312"/>
          <w:b w:val="0"/>
          <w:bCs w:val="0"/>
          <w:color w:val="auto"/>
          <w:sz w:val="32"/>
          <w:szCs w:val="40"/>
          <w:lang w:val="en-US" w:eastAsia="zh-CN"/>
        </w:rPr>
        <w:t>进一步提升了员工的荣誉感</w:t>
      </w:r>
      <w:r>
        <w:rPr>
          <w:rFonts w:hint="eastAsia" w:ascii="仿宋_GB2312" w:hAnsi="仿宋_GB2312" w:eastAsia="仿宋_GB2312" w:cs="仿宋_GB2312"/>
          <w:color w:val="auto"/>
          <w:sz w:val="32"/>
          <w:szCs w:val="40"/>
          <w:lang w:val="en-US" w:eastAsia="zh-CN"/>
        </w:rPr>
        <w:t>。</w:t>
      </w:r>
    </w:p>
    <w:p w14:paraId="2DBE42B4">
      <w:pPr>
        <w:pStyle w:val="15"/>
        <w:keepNext w:val="0"/>
        <w:keepLines w:val="0"/>
        <w:pageBreakBefore w:val="0"/>
        <w:widowControl/>
        <w:kinsoku/>
        <w:wordWrap/>
        <w:overflowPunct/>
        <w:topLinePunct w:val="0"/>
        <w:autoSpaceDE/>
        <w:autoSpaceDN/>
        <w:bidi w:val="0"/>
        <w:adjustRightInd/>
        <w:snapToGrid/>
        <w:spacing w:line="640" w:lineRule="exact"/>
        <w:ind w:left="0" w:leftChars="0" w:firstLine="640" w:firstLineChars="200"/>
        <w:jc w:val="both"/>
        <w:textAlignment w:val="auto"/>
        <w:rPr>
          <w:rFonts w:hint="default" w:ascii="Times New Roman" w:hAnsi="Times New Roman" w:eastAsia="黑体" w:cs="Times New Roman"/>
          <w:sz w:val="32"/>
          <w:szCs w:val="32"/>
          <w:highlight w:val="none"/>
        </w:rPr>
      </w:pPr>
      <w:r>
        <w:rPr>
          <w:rFonts w:hint="default" w:ascii="Times New Roman" w:hAnsi="Times New Roman" w:eastAsia="黑体" w:cs="Times New Roman"/>
          <w:sz w:val="32"/>
          <w:szCs w:val="32"/>
          <w:highlight w:val="none"/>
        </w:rPr>
        <w:t>七、存在的问题及原因分析</w:t>
      </w:r>
    </w:p>
    <w:p w14:paraId="5B4058C8">
      <w:pPr>
        <w:keepNext w:val="0"/>
        <w:keepLines w:val="0"/>
        <w:pageBreakBefore w:val="0"/>
        <w:widowControl w:val="0"/>
        <w:numPr>
          <w:ilvl w:val="0"/>
          <w:numId w:val="0"/>
        </w:numPr>
        <w:kinsoku/>
        <w:wordWrap/>
        <w:overflowPunct/>
        <w:topLinePunct w:val="0"/>
        <w:autoSpaceDE/>
        <w:autoSpaceDN/>
        <w:bidi w:val="0"/>
        <w:adjustRightInd w:val="0"/>
        <w:snapToGrid w:val="0"/>
        <w:spacing w:line="600" w:lineRule="exact"/>
        <w:ind w:firstLine="640" w:firstLineChars="200"/>
        <w:textAlignment w:val="auto"/>
        <w:rPr>
          <w:rFonts w:hint="eastAsia" w:ascii="仿宋_GB2312" w:hAnsi="仿宋_GB2312" w:eastAsia="仿宋_GB2312" w:cs="仿宋_GB2312"/>
          <w:color w:val="auto"/>
          <w:sz w:val="32"/>
          <w:szCs w:val="40"/>
          <w:lang w:val="en-US" w:eastAsia="zh-CN"/>
        </w:rPr>
      </w:pPr>
      <w:r>
        <w:rPr>
          <w:rFonts w:hint="eastAsia" w:ascii="楷体" w:hAnsi="楷体" w:eastAsia="楷体" w:cs="楷体"/>
          <w:b w:val="0"/>
          <w:bCs w:val="0"/>
          <w:color w:val="auto"/>
          <w:sz w:val="32"/>
          <w:szCs w:val="40"/>
          <w:lang w:val="en-US" w:eastAsia="zh-CN"/>
        </w:rPr>
        <w:t>一是血液采集压力大。</w:t>
      </w:r>
      <w:r>
        <w:rPr>
          <w:rFonts w:hint="eastAsia" w:ascii="仿宋_GB2312" w:hAnsi="仿宋_GB2312" w:eastAsia="仿宋_GB2312" w:cs="仿宋_GB2312"/>
          <w:color w:val="auto"/>
          <w:sz w:val="32"/>
          <w:szCs w:val="40"/>
          <w:lang w:val="en-US" w:eastAsia="zh-CN"/>
        </w:rPr>
        <w:t>受过紧日子的要求，财政对单位资金使用方式及额度的不确定；与县市区和高校等工作推动模式的改变；新冠疫情后，人民群众健康观念改变，对无偿献血认识存在偏见；“小马拉大车”整治及基层减负工作开展，干部群众献血意愿显著降低；气象灾害团体预约计划频繁调整等因素影响，预约计划完成打折扣，出现季节性血源紧张现象。</w:t>
      </w:r>
    </w:p>
    <w:p w14:paraId="091681AA">
      <w:pPr>
        <w:keepNext w:val="0"/>
        <w:keepLines w:val="0"/>
        <w:pageBreakBefore w:val="0"/>
        <w:widowControl w:val="0"/>
        <w:numPr>
          <w:ilvl w:val="0"/>
          <w:numId w:val="0"/>
        </w:numPr>
        <w:kinsoku/>
        <w:wordWrap/>
        <w:overflowPunct/>
        <w:topLinePunct w:val="0"/>
        <w:autoSpaceDE/>
        <w:autoSpaceDN/>
        <w:bidi w:val="0"/>
        <w:adjustRightInd w:val="0"/>
        <w:snapToGrid w:val="0"/>
        <w:spacing w:line="600" w:lineRule="exact"/>
        <w:ind w:firstLine="640" w:firstLineChars="200"/>
        <w:textAlignment w:val="auto"/>
        <w:rPr>
          <w:rFonts w:hint="eastAsia" w:ascii="仿宋_GB2312" w:hAnsi="仿宋_GB2312" w:eastAsia="仿宋_GB2312" w:cs="仿宋_GB2312"/>
          <w:color w:val="auto"/>
          <w:sz w:val="32"/>
          <w:szCs w:val="40"/>
          <w:lang w:val="en-US" w:eastAsia="zh-CN"/>
        </w:rPr>
      </w:pPr>
      <w:r>
        <w:rPr>
          <w:rFonts w:hint="eastAsia" w:ascii="楷体" w:hAnsi="楷体" w:eastAsia="楷体" w:cs="楷体"/>
          <w:b w:val="0"/>
          <w:bCs w:val="0"/>
          <w:color w:val="auto"/>
          <w:sz w:val="32"/>
          <w:szCs w:val="40"/>
          <w:lang w:val="en-US" w:eastAsia="zh-CN"/>
        </w:rPr>
        <w:t>二是设备老化需更新</w:t>
      </w:r>
      <w:r>
        <w:rPr>
          <w:rFonts w:hint="eastAsia" w:ascii="仿宋_GB2312" w:hAnsi="仿宋_GB2312" w:eastAsia="仿宋_GB2312" w:cs="仿宋_GB2312"/>
          <w:color w:val="auto"/>
          <w:sz w:val="32"/>
          <w:szCs w:val="40"/>
          <w:lang w:val="en-US" w:eastAsia="zh-CN"/>
        </w:rPr>
        <w:t>。站内部分仪器设备使用年代久远，超年限使用设备较多，虽然进行了维护保养，但仍存在功能下降，故障频发等重大隐患。</w:t>
      </w:r>
    </w:p>
    <w:p w14:paraId="5DB434C1">
      <w:pPr>
        <w:keepNext w:val="0"/>
        <w:keepLines w:val="0"/>
        <w:pageBreakBefore w:val="0"/>
        <w:widowControl w:val="0"/>
        <w:numPr>
          <w:ilvl w:val="0"/>
          <w:numId w:val="0"/>
        </w:numPr>
        <w:kinsoku/>
        <w:wordWrap/>
        <w:overflowPunct/>
        <w:topLinePunct w:val="0"/>
        <w:autoSpaceDE/>
        <w:autoSpaceDN/>
        <w:bidi w:val="0"/>
        <w:adjustRightInd w:val="0"/>
        <w:snapToGrid w:val="0"/>
        <w:spacing w:line="600" w:lineRule="exact"/>
        <w:ind w:firstLine="640" w:firstLineChars="200"/>
        <w:textAlignment w:val="auto"/>
        <w:rPr>
          <w:rFonts w:hint="default" w:ascii="仿宋_GB2312" w:hAnsi="仿宋_GB2312" w:eastAsia="仿宋_GB2312" w:cs="仿宋_GB2312"/>
          <w:color w:val="auto"/>
          <w:sz w:val="32"/>
          <w:szCs w:val="40"/>
          <w:lang w:val="en-US" w:eastAsia="zh-CN"/>
        </w:rPr>
      </w:pPr>
      <w:r>
        <w:rPr>
          <w:rFonts w:hint="eastAsia" w:ascii="楷体" w:hAnsi="楷体" w:eastAsia="楷体" w:cs="楷体"/>
          <w:b w:val="0"/>
          <w:bCs w:val="0"/>
          <w:color w:val="auto"/>
          <w:sz w:val="32"/>
          <w:szCs w:val="40"/>
          <w:lang w:val="en-US" w:eastAsia="zh-CN"/>
        </w:rPr>
        <w:t>三是人才队伍需优化。</w:t>
      </w:r>
      <w:r>
        <w:rPr>
          <w:rFonts w:hint="eastAsia" w:ascii="仿宋_GB2312" w:hAnsi="仿宋_GB2312" w:eastAsia="仿宋_GB2312" w:cs="仿宋_GB2312"/>
          <w:color w:val="auto"/>
          <w:sz w:val="32"/>
          <w:szCs w:val="40"/>
          <w:lang w:val="en-US" w:eastAsia="zh-CN"/>
        </w:rPr>
        <w:t>人员配置不合理。全站139人，机关行政人员有50人，占总人数的36%。专业技术人才队伍总量不足。其中有医生资格证8人，护士资格证58人，检验资格证27人，药学专业2人，占比68%，未达到《血站质量管理规范》“卫生专业技术人员占比应在职工总数的75%以上”要求。特别是在编人员中，有医师资格证的5人，有采血资质的护士仅6人。我们先后向编办、人社表达了人才引进需求，但均未满足。</w:t>
      </w:r>
    </w:p>
    <w:p w14:paraId="524A66EC">
      <w:pPr>
        <w:keepNext w:val="0"/>
        <w:keepLines w:val="0"/>
        <w:pageBreakBefore w:val="0"/>
        <w:widowControl w:val="0"/>
        <w:numPr>
          <w:ilvl w:val="0"/>
          <w:numId w:val="0"/>
        </w:numPr>
        <w:kinsoku/>
        <w:wordWrap/>
        <w:overflowPunct/>
        <w:topLinePunct w:val="0"/>
        <w:autoSpaceDE/>
        <w:autoSpaceDN/>
        <w:bidi w:val="0"/>
        <w:adjustRightInd w:val="0"/>
        <w:snapToGrid w:val="0"/>
        <w:spacing w:line="600" w:lineRule="exact"/>
        <w:ind w:firstLine="640" w:firstLineChars="200"/>
        <w:textAlignment w:val="auto"/>
        <w:rPr>
          <w:rFonts w:hint="default" w:ascii="仿宋_GB2312" w:hAnsi="仿宋_GB2312" w:eastAsia="仿宋_GB2312" w:cs="仿宋_GB2312"/>
          <w:color w:val="auto"/>
          <w:sz w:val="32"/>
          <w:szCs w:val="40"/>
          <w:lang w:val="en-US" w:eastAsia="zh-CN"/>
        </w:rPr>
      </w:pPr>
      <w:r>
        <w:rPr>
          <w:rFonts w:hint="eastAsia" w:ascii="楷体" w:hAnsi="楷体" w:eastAsia="楷体" w:cs="楷体"/>
          <w:b w:val="0"/>
          <w:bCs w:val="0"/>
          <w:color w:val="auto"/>
          <w:sz w:val="32"/>
          <w:szCs w:val="40"/>
          <w:lang w:val="en-US" w:eastAsia="zh-CN"/>
        </w:rPr>
        <w:t>四是科研创新需加强</w:t>
      </w:r>
      <w:r>
        <w:rPr>
          <w:rFonts w:hint="eastAsia" w:ascii="仿宋_GB2312" w:hAnsi="仿宋_GB2312" w:eastAsia="仿宋_GB2312" w:cs="仿宋_GB2312"/>
          <w:color w:val="auto"/>
          <w:sz w:val="32"/>
          <w:szCs w:val="40"/>
          <w:lang w:val="en-US" w:eastAsia="zh-CN"/>
        </w:rPr>
        <w:t>。随着造血干细胞分型及亲子鉴定等项目的叫停，现有科研设备闲置，科研人员锻炼机会及科研成果大大减少，科研项目拓展任重而道远。</w:t>
      </w:r>
    </w:p>
    <w:p w14:paraId="524BA174">
      <w:pPr>
        <w:keepNext w:val="0"/>
        <w:keepLines w:val="0"/>
        <w:pageBreakBefore w:val="0"/>
        <w:widowControl/>
        <w:kinsoku/>
        <w:wordWrap/>
        <w:overflowPunct/>
        <w:topLinePunct w:val="0"/>
        <w:autoSpaceDE/>
        <w:autoSpaceDN/>
        <w:bidi w:val="0"/>
        <w:adjustRightInd/>
        <w:snapToGrid/>
        <w:spacing w:line="600" w:lineRule="exact"/>
        <w:ind w:firstLine="640" w:firstLineChars="200"/>
        <w:jc w:val="left"/>
        <w:textAlignment w:val="auto"/>
        <w:rPr>
          <w:rFonts w:hint="default" w:ascii="Times New Roman" w:hAnsi="Times New Roman" w:eastAsia="仿宋_GB2312" w:cs="Times New Roman"/>
          <w:sz w:val="32"/>
          <w:szCs w:val="32"/>
          <w:highlight w:val="none"/>
        </w:rPr>
      </w:pPr>
      <w:r>
        <w:rPr>
          <w:rFonts w:hint="eastAsia" w:ascii="仿宋_GB2312" w:hAnsi="仿宋_GB2312" w:eastAsia="仿宋_GB2312" w:cs="仿宋_GB2312"/>
          <w:color w:val="auto"/>
          <w:kern w:val="0"/>
          <w:sz w:val="32"/>
          <w:szCs w:val="32"/>
          <w:lang w:val="en-US" w:eastAsia="zh-CN"/>
        </w:rPr>
        <w:t>五是市本级项目资金被压缩。</w:t>
      </w:r>
      <w:r>
        <w:rPr>
          <w:rFonts w:hint="eastAsia" w:ascii="仿宋_GB2312" w:hAnsi="仿宋_GB2312" w:eastAsia="仿宋_GB2312" w:cs="仿宋_GB2312"/>
          <w:color w:val="auto"/>
          <w:kern w:val="0"/>
          <w:sz w:val="32"/>
          <w:szCs w:val="32"/>
        </w:rPr>
        <w:t>根据国家卫计委、财政部办公厅《关于做好血站核酸检测工作的通知》（国卫办医发〔2015〕11号）文件“血站加强核酸检测所需经费应当按照《关于完善政府卫生投入政策意见》（财社〔2009〕66号）有关要求，由同级财政负担。目前我站每年核酸检测支出约近400万元。市财政自2016年其每年给予核酸经费专项拨款100万元。但20</w:t>
      </w:r>
      <w:r>
        <w:rPr>
          <w:rFonts w:hint="eastAsia" w:ascii="仿宋_GB2312" w:hAnsi="仿宋_GB2312" w:eastAsia="仿宋_GB2312" w:cs="仿宋_GB2312"/>
          <w:color w:val="auto"/>
          <w:kern w:val="0"/>
          <w:sz w:val="32"/>
          <w:szCs w:val="32"/>
          <w:lang w:val="en-US" w:eastAsia="zh-CN"/>
        </w:rPr>
        <w:t>20</w:t>
      </w:r>
      <w:r>
        <w:rPr>
          <w:rFonts w:hint="eastAsia" w:ascii="仿宋_GB2312" w:hAnsi="仿宋_GB2312" w:eastAsia="仿宋_GB2312" w:cs="仿宋_GB2312"/>
          <w:color w:val="auto"/>
          <w:kern w:val="0"/>
          <w:sz w:val="32"/>
          <w:szCs w:val="32"/>
        </w:rPr>
        <w:t>年</w:t>
      </w:r>
      <w:r>
        <w:rPr>
          <w:rFonts w:hint="eastAsia" w:ascii="仿宋_GB2312" w:hAnsi="仿宋_GB2312" w:eastAsia="仿宋_GB2312" w:cs="仿宋_GB2312"/>
          <w:color w:val="auto"/>
          <w:kern w:val="0"/>
          <w:sz w:val="32"/>
          <w:szCs w:val="32"/>
          <w:lang w:val="en-US" w:eastAsia="zh-CN"/>
        </w:rPr>
        <w:t>起</w:t>
      </w:r>
      <w:r>
        <w:rPr>
          <w:rFonts w:hint="eastAsia" w:ascii="仿宋_GB2312" w:hAnsi="仿宋_GB2312" w:eastAsia="仿宋_GB2312" w:cs="仿宋_GB2312"/>
          <w:color w:val="auto"/>
          <w:kern w:val="0"/>
          <w:sz w:val="32"/>
          <w:szCs w:val="32"/>
        </w:rPr>
        <w:t>市财对该项经费</w:t>
      </w:r>
      <w:r>
        <w:rPr>
          <w:rFonts w:hint="eastAsia" w:ascii="仿宋_GB2312" w:hAnsi="仿宋_GB2312" w:eastAsia="仿宋_GB2312" w:cs="仿宋_GB2312"/>
          <w:color w:val="auto"/>
          <w:kern w:val="0"/>
          <w:sz w:val="32"/>
          <w:szCs w:val="32"/>
          <w:lang w:val="en-US" w:eastAsia="zh-CN"/>
        </w:rPr>
        <w:t>逐年</w:t>
      </w:r>
      <w:r>
        <w:rPr>
          <w:rFonts w:hint="eastAsia" w:ascii="仿宋_GB2312" w:hAnsi="仿宋_GB2312" w:eastAsia="仿宋_GB2312" w:cs="仿宋_GB2312"/>
          <w:color w:val="auto"/>
          <w:kern w:val="0"/>
          <w:sz w:val="32"/>
          <w:szCs w:val="32"/>
        </w:rPr>
        <w:t>压缩，</w:t>
      </w:r>
      <w:r>
        <w:rPr>
          <w:rFonts w:hint="eastAsia" w:ascii="仿宋_GB2312" w:hAnsi="仿宋_GB2312" w:eastAsia="仿宋_GB2312" w:cs="仿宋_GB2312"/>
          <w:color w:val="auto"/>
          <w:kern w:val="0"/>
          <w:sz w:val="32"/>
          <w:szCs w:val="32"/>
          <w:lang w:val="en-US" w:eastAsia="zh-CN"/>
        </w:rPr>
        <w:t>2023年度</w:t>
      </w:r>
      <w:r>
        <w:rPr>
          <w:rFonts w:hint="eastAsia" w:ascii="仿宋_GB2312" w:hAnsi="仿宋_GB2312" w:eastAsia="仿宋_GB2312" w:cs="仿宋_GB2312"/>
          <w:color w:val="auto"/>
          <w:kern w:val="0"/>
          <w:sz w:val="32"/>
          <w:szCs w:val="32"/>
        </w:rPr>
        <w:t>仅下拨</w:t>
      </w:r>
      <w:r>
        <w:rPr>
          <w:rFonts w:hint="eastAsia" w:ascii="仿宋_GB2312" w:hAnsi="仿宋_GB2312" w:eastAsia="仿宋_GB2312" w:cs="仿宋_GB2312"/>
          <w:color w:val="auto"/>
          <w:kern w:val="0"/>
          <w:sz w:val="32"/>
          <w:szCs w:val="32"/>
          <w:lang w:val="en-US" w:eastAsia="zh-CN"/>
        </w:rPr>
        <w:t>5</w:t>
      </w:r>
      <w:r>
        <w:rPr>
          <w:rFonts w:hint="eastAsia" w:ascii="仿宋_GB2312" w:hAnsi="仿宋_GB2312" w:eastAsia="仿宋_GB2312" w:cs="仿宋_GB2312"/>
          <w:color w:val="auto"/>
          <w:kern w:val="0"/>
          <w:sz w:val="32"/>
          <w:szCs w:val="32"/>
        </w:rPr>
        <w:t>0万元。核酸专项经费的压缩不适于我站采供血业务工作发展的需要</w:t>
      </w:r>
      <w:r>
        <w:rPr>
          <w:rFonts w:hint="eastAsia" w:ascii="仿宋_GB2312" w:hAnsi="仿宋_GB2312" w:eastAsia="仿宋_GB2312" w:cs="仿宋_GB2312"/>
          <w:color w:val="auto"/>
          <w:kern w:val="0"/>
          <w:sz w:val="32"/>
          <w:szCs w:val="32"/>
          <w:lang w:eastAsia="zh-CN"/>
        </w:rPr>
        <w:t>。</w:t>
      </w:r>
    </w:p>
    <w:p w14:paraId="63F47657">
      <w:pPr>
        <w:keepNext w:val="0"/>
        <w:keepLines w:val="0"/>
        <w:pageBreakBefore w:val="0"/>
        <w:widowControl/>
        <w:numPr>
          <w:ilvl w:val="0"/>
          <w:numId w:val="3"/>
        </w:numPr>
        <w:kinsoku/>
        <w:wordWrap/>
        <w:overflowPunct/>
        <w:topLinePunct w:val="0"/>
        <w:autoSpaceDE/>
        <w:autoSpaceDN/>
        <w:bidi w:val="0"/>
        <w:adjustRightInd/>
        <w:snapToGrid/>
        <w:spacing w:line="640" w:lineRule="exact"/>
        <w:ind w:firstLine="640" w:firstLineChars="200"/>
        <w:jc w:val="both"/>
        <w:textAlignment w:val="auto"/>
        <w:rPr>
          <w:rFonts w:hint="default" w:ascii="Times New Roman" w:hAnsi="Times New Roman" w:eastAsia="黑体" w:cs="Times New Roman"/>
          <w:sz w:val="32"/>
          <w:szCs w:val="32"/>
          <w:highlight w:val="none"/>
        </w:rPr>
      </w:pPr>
      <w:r>
        <w:rPr>
          <w:rFonts w:hint="default" w:ascii="Times New Roman" w:hAnsi="Times New Roman" w:eastAsia="黑体" w:cs="Times New Roman"/>
          <w:sz w:val="32"/>
          <w:szCs w:val="32"/>
          <w:highlight w:val="none"/>
        </w:rPr>
        <w:t>下一步改进措施</w:t>
      </w:r>
    </w:p>
    <w:p w14:paraId="5E9DCB64">
      <w:pPr>
        <w:spacing w:line="600" w:lineRule="exact"/>
        <w:ind w:firstLine="640" w:firstLineChars="200"/>
        <w:rPr>
          <w:rFonts w:hint="eastAsia" w:ascii="仿宋_GB2312" w:hAnsi="仿宋_GB2312" w:eastAsia="仿宋_GB2312" w:cs="仿宋_GB2312"/>
          <w:color w:val="auto"/>
          <w:kern w:val="0"/>
          <w:sz w:val="32"/>
          <w:szCs w:val="32"/>
          <w:lang w:eastAsia="zh-CN"/>
        </w:rPr>
      </w:pPr>
      <w:r>
        <w:rPr>
          <w:rFonts w:hint="eastAsia" w:ascii="仿宋_GB2312" w:hAnsi="仿宋_GB2312" w:eastAsia="仿宋_GB2312" w:cs="仿宋_GB2312"/>
          <w:color w:val="auto"/>
          <w:kern w:val="0"/>
          <w:sz w:val="32"/>
          <w:szCs w:val="32"/>
          <w:lang w:val="en-US" w:eastAsia="zh-CN"/>
        </w:rPr>
        <w:t>一是</w:t>
      </w:r>
      <w:r>
        <w:rPr>
          <w:rFonts w:hint="eastAsia" w:ascii="仿宋_GB2312" w:hAnsi="仿宋_GB2312" w:eastAsia="仿宋_GB2312" w:cs="仿宋_GB2312"/>
          <w:color w:val="auto"/>
          <w:spacing w:val="-4"/>
          <w:sz w:val="32"/>
          <w:szCs w:val="32"/>
        </w:rPr>
        <w:t>组织好血站公众开放日</w:t>
      </w:r>
      <w:r>
        <w:rPr>
          <w:rFonts w:hint="eastAsia" w:ascii="仿宋_GB2312" w:hAnsi="仿宋_GB2312" w:eastAsia="仿宋_GB2312" w:cs="仿宋_GB2312"/>
          <w:color w:val="auto"/>
          <w:spacing w:val="-4"/>
          <w:sz w:val="32"/>
          <w:szCs w:val="32"/>
          <w:lang w:eastAsia="zh-CN"/>
        </w:rPr>
        <w:t>，</w:t>
      </w:r>
      <w:r>
        <w:rPr>
          <w:rFonts w:hint="eastAsia" w:ascii="仿宋_GB2312" w:hAnsi="仿宋_GB2312" w:eastAsia="仿宋_GB2312" w:cs="仿宋_GB2312"/>
          <w:color w:val="auto"/>
          <w:spacing w:val="-4"/>
          <w:sz w:val="32"/>
          <w:szCs w:val="32"/>
        </w:rPr>
        <w:t>提升无偿献血工作的社会公信度，进一步树强无偿献血志愿者服务公益品牌。</w:t>
      </w:r>
      <w:r>
        <w:rPr>
          <w:rFonts w:hint="eastAsia" w:ascii="仿宋_GB2312" w:hAnsi="仿宋_GB2312" w:eastAsia="仿宋_GB2312" w:cs="仿宋_GB2312"/>
          <w:color w:val="auto"/>
          <w:spacing w:val="-4"/>
          <w:sz w:val="32"/>
          <w:szCs w:val="32"/>
          <w:lang w:val="en-US" w:eastAsia="zh-CN"/>
        </w:rPr>
        <w:t>二</w:t>
      </w:r>
      <w:r>
        <w:rPr>
          <w:rFonts w:hint="eastAsia" w:ascii="仿宋_GB2312" w:hAnsi="仿宋_GB2312" w:eastAsia="仿宋_GB2312" w:cs="仿宋_GB2312"/>
          <w:color w:val="auto"/>
          <w:kern w:val="0"/>
          <w:sz w:val="32"/>
          <w:szCs w:val="32"/>
          <w:lang w:val="en-US" w:eastAsia="zh-CN"/>
        </w:rPr>
        <w:t>是积极向上级主管部门和市财政部门争取</w:t>
      </w:r>
      <w:r>
        <w:rPr>
          <w:rFonts w:hint="eastAsia" w:ascii="仿宋_GB2312" w:hAnsi="仿宋_GB2312" w:eastAsia="仿宋_GB2312" w:cs="仿宋_GB2312"/>
          <w:color w:val="auto"/>
          <w:kern w:val="0"/>
          <w:sz w:val="32"/>
          <w:szCs w:val="32"/>
        </w:rPr>
        <w:t>资金</w:t>
      </w:r>
      <w:r>
        <w:rPr>
          <w:rFonts w:hint="eastAsia" w:ascii="仿宋_GB2312" w:hAnsi="仿宋_GB2312" w:eastAsia="仿宋_GB2312" w:cs="仿宋_GB2312"/>
          <w:color w:val="auto"/>
          <w:kern w:val="0"/>
          <w:sz w:val="32"/>
          <w:szCs w:val="32"/>
          <w:lang w:eastAsia="zh-CN"/>
        </w:rPr>
        <w:t>，</w:t>
      </w:r>
      <w:r>
        <w:rPr>
          <w:rFonts w:hint="eastAsia" w:ascii="仿宋_GB2312" w:hAnsi="仿宋_GB2312" w:eastAsia="仿宋_GB2312" w:cs="仿宋_GB2312"/>
          <w:color w:val="auto"/>
          <w:kern w:val="0"/>
          <w:sz w:val="32"/>
          <w:szCs w:val="32"/>
          <w:lang w:val="en-US" w:eastAsia="zh-CN"/>
        </w:rPr>
        <w:t>更新老化设备</w:t>
      </w:r>
      <w:r>
        <w:rPr>
          <w:rFonts w:hint="eastAsia" w:ascii="仿宋_GB2312" w:hAnsi="仿宋_GB2312" w:eastAsia="仿宋_GB2312" w:cs="仿宋_GB2312"/>
          <w:color w:val="auto"/>
          <w:kern w:val="0"/>
          <w:sz w:val="32"/>
          <w:szCs w:val="32"/>
          <w:lang w:eastAsia="zh-CN"/>
        </w:rPr>
        <w:t>。</w:t>
      </w:r>
      <w:r>
        <w:rPr>
          <w:rFonts w:hint="eastAsia" w:ascii="仿宋_GB2312" w:hAnsi="仿宋_GB2312" w:eastAsia="仿宋_GB2312" w:cs="仿宋_GB2312"/>
          <w:color w:val="auto"/>
          <w:kern w:val="0"/>
          <w:sz w:val="32"/>
          <w:szCs w:val="32"/>
          <w:lang w:val="en-US" w:eastAsia="zh-CN"/>
        </w:rPr>
        <w:t>三是向</w:t>
      </w:r>
      <w:r>
        <w:rPr>
          <w:rFonts w:hint="eastAsia" w:ascii="仿宋_GB2312" w:hAnsi="仿宋_GB2312" w:eastAsia="仿宋_GB2312" w:cs="仿宋_GB2312"/>
          <w:color w:val="auto"/>
          <w:sz w:val="32"/>
          <w:szCs w:val="40"/>
          <w:lang w:val="en-US" w:eastAsia="zh-CN"/>
        </w:rPr>
        <w:t>编办和人社部门加强沟通，争取人才引进。四是</w:t>
      </w:r>
      <w:r>
        <w:rPr>
          <w:rFonts w:hint="eastAsia" w:ascii="仿宋_GB2312" w:hAnsi="仿宋_GB2312" w:eastAsia="仿宋_GB2312" w:cs="仿宋_GB2312"/>
          <w:color w:val="auto"/>
          <w:kern w:val="0"/>
          <w:sz w:val="32"/>
          <w:szCs w:val="32"/>
          <w:lang w:val="en-US" w:eastAsia="zh-CN"/>
        </w:rPr>
        <w:t>向财政部门争取市本级</w:t>
      </w:r>
      <w:r>
        <w:rPr>
          <w:rFonts w:hint="eastAsia" w:ascii="仿宋_GB2312" w:hAnsi="仿宋_GB2312" w:eastAsia="仿宋_GB2312" w:cs="仿宋_GB2312"/>
          <w:color w:val="auto"/>
          <w:kern w:val="0"/>
          <w:sz w:val="32"/>
          <w:szCs w:val="32"/>
        </w:rPr>
        <w:t>核酸经费专项拨款资金</w:t>
      </w:r>
      <w:r>
        <w:rPr>
          <w:rFonts w:hint="eastAsia" w:ascii="仿宋_GB2312" w:hAnsi="仿宋_GB2312" w:eastAsia="仿宋_GB2312" w:cs="仿宋_GB2312"/>
          <w:color w:val="auto"/>
          <w:kern w:val="0"/>
          <w:sz w:val="32"/>
          <w:szCs w:val="32"/>
          <w:lang w:eastAsia="zh-CN"/>
        </w:rPr>
        <w:t>。</w:t>
      </w:r>
    </w:p>
    <w:p w14:paraId="20DCF7CD">
      <w:pPr>
        <w:keepNext w:val="0"/>
        <w:keepLines w:val="0"/>
        <w:pageBreakBefore w:val="0"/>
        <w:widowControl/>
        <w:kinsoku/>
        <w:wordWrap/>
        <w:overflowPunct/>
        <w:topLinePunct w:val="0"/>
        <w:autoSpaceDE/>
        <w:autoSpaceDN/>
        <w:bidi w:val="0"/>
        <w:adjustRightInd/>
        <w:snapToGrid/>
        <w:spacing w:line="600" w:lineRule="exact"/>
        <w:ind w:firstLine="640" w:firstLineChars="200"/>
        <w:jc w:val="left"/>
        <w:textAlignment w:val="auto"/>
        <w:rPr>
          <w:rFonts w:hint="default" w:ascii="Times New Roman" w:hAnsi="Times New Roman" w:eastAsia="黑体" w:cs="Times New Roman"/>
          <w:sz w:val="32"/>
          <w:szCs w:val="32"/>
          <w:highlight w:val="none"/>
        </w:rPr>
      </w:pPr>
      <w:r>
        <w:rPr>
          <w:rFonts w:hint="eastAsia" w:ascii="仿宋_GB2312" w:hAnsi="仿宋_GB2312" w:eastAsia="仿宋_GB2312" w:cs="仿宋_GB2312"/>
          <w:b/>
          <w:bCs/>
          <w:color w:val="auto"/>
          <w:kern w:val="0"/>
          <w:sz w:val="32"/>
          <w:szCs w:val="32"/>
          <w:lang w:val="en-US" w:eastAsia="zh-CN"/>
        </w:rPr>
        <w:t>九、</w:t>
      </w:r>
      <w:r>
        <w:rPr>
          <w:rFonts w:hint="default" w:ascii="Times New Roman" w:hAnsi="Times New Roman" w:eastAsia="黑体" w:cs="Times New Roman"/>
          <w:sz w:val="32"/>
          <w:szCs w:val="32"/>
          <w:highlight w:val="none"/>
        </w:rPr>
        <w:t>部门整体支出绩效自评结果拟应用和公开情况</w:t>
      </w:r>
    </w:p>
    <w:p w14:paraId="1143D37E">
      <w:pPr>
        <w:keepNext w:val="0"/>
        <w:keepLines w:val="0"/>
        <w:pageBreakBefore w:val="0"/>
        <w:kinsoku/>
        <w:wordWrap/>
        <w:overflowPunct/>
        <w:topLinePunct w:val="0"/>
        <w:autoSpaceDE/>
        <w:autoSpaceDN/>
        <w:bidi w:val="0"/>
        <w:spacing w:line="600" w:lineRule="exact"/>
        <w:ind w:left="0" w:leftChars="0" w:firstLine="624" w:firstLineChars="200"/>
        <w:textAlignment w:val="auto"/>
        <w:rPr>
          <w:rFonts w:hint="eastAsia" w:ascii="仿宋_GB2312" w:hAnsi="仿宋_GB2312" w:eastAsia="仿宋_GB2312" w:cs="仿宋_GB2312"/>
          <w:color w:val="auto"/>
          <w:spacing w:val="-4"/>
          <w:sz w:val="32"/>
          <w:szCs w:val="32"/>
          <w:lang w:val="en-US" w:eastAsia="zh-CN"/>
        </w:rPr>
      </w:pPr>
      <w:r>
        <w:rPr>
          <w:rFonts w:hint="eastAsia" w:ascii="仿宋_GB2312" w:hAnsi="仿宋_GB2312" w:eastAsia="仿宋_GB2312" w:cs="仿宋_GB2312"/>
          <w:color w:val="auto"/>
          <w:spacing w:val="-4"/>
          <w:sz w:val="32"/>
          <w:szCs w:val="32"/>
        </w:rPr>
        <w:t>用好</w:t>
      </w:r>
      <w:r>
        <w:rPr>
          <w:rFonts w:hint="eastAsia" w:ascii="仿宋_GB2312" w:hAnsi="仿宋_GB2312" w:eastAsia="仿宋_GB2312" w:cs="仿宋_GB2312"/>
          <w:color w:val="auto"/>
          <w:spacing w:val="-4"/>
          <w:sz w:val="32"/>
          <w:szCs w:val="32"/>
          <w:lang w:val="en-US" w:eastAsia="zh-CN"/>
        </w:rPr>
        <w:t>部门整体</w:t>
      </w:r>
      <w:r>
        <w:rPr>
          <w:rFonts w:hint="eastAsia" w:ascii="仿宋_GB2312" w:hAnsi="仿宋_GB2312" w:eastAsia="仿宋_GB2312" w:cs="仿宋_GB2312"/>
          <w:color w:val="auto"/>
          <w:spacing w:val="-4"/>
          <w:sz w:val="32"/>
          <w:szCs w:val="32"/>
        </w:rPr>
        <w:t>绩效</w:t>
      </w:r>
      <w:r>
        <w:rPr>
          <w:rFonts w:hint="eastAsia" w:ascii="仿宋_GB2312" w:hAnsi="仿宋_GB2312" w:eastAsia="仿宋_GB2312" w:cs="仿宋_GB2312"/>
          <w:color w:val="auto"/>
          <w:spacing w:val="-4"/>
          <w:sz w:val="32"/>
          <w:szCs w:val="32"/>
          <w:lang w:val="en-US" w:eastAsia="zh-CN"/>
        </w:rPr>
        <w:t>自评结果，根据相关数据</w:t>
      </w:r>
      <w:r>
        <w:rPr>
          <w:rFonts w:hint="eastAsia" w:ascii="仿宋_GB2312" w:hAnsi="仿宋_GB2312" w:eastAsia="仿宋_GB2312" w:cs="仿宋_GB2312"/>
          <w:color w:val="auto"/>
          <w:spacing w:val="-4"/>
          <w:sz w:val="32"/>
          <w:szCs w:val="32"/>
        </w:rPr>
        <w:t>把握医疗服务和业务质量两个重点，改善采供血服务水平，提升临床科学合理用血水平</w:t>
      </w:r>
      <w:r>
        <w:rPr>
          <w:rFonts w:hint="eastAsia" w:ascii="仿宋_GB2312" w:hAnsi="仿宋_GB2312" w:eastAsia="仿宋_GB2312" w:cs="仿宋_GB2312"/>
          <w:color w:val="auto"/>
          <w:spacing w:val="-4"/>
          <w:sz w:val="32"/>
          <w:szCs w:val="32"/>
          <w:lang w:eastAsia="zh-CN"/>
        </w:rPr>
        <w:t>，</w:t>
      </w:r>
      <w:r>
        <w:rPr>
          <w:rFonts w:hint="eastAsia" w:ascii="仿宋_GB2312" w:hAnsi="仿宋_GB2312" w:eastAsia="仿宋_GB2312" w:cs="仿宋_GB2312"/>
          <w:color w:val="auto"/>
          <w:spacing w:val="-4"/>
          <w:sz w:val="32"/>
          <w:szCs w:val="32"/>
          <w:lang w:val="en-US" w:eastAsia="zh-CN"/>
        </w:rPr>
        <w:t>保障临床用血安全。</w:t>
      </w:r>
      <w:r>
        <w:rPr>
          <w:rFonts w:hint="eastAsia" w:ascii="仿宋_GB2312" w:hAnsi="仿宋_GB2312" w:eastAsia="仿宋_GB2312" w:cs="仿宋_GB2312"/>
          <w:b w:val="0"/>
          <w:bCs w:val="0"/>
          <w:color w:val="auto"/>
          <w:sz w:val="32"/>
          <w:szCs w:val="32"/>
        </w:rPr>
        <w:t>部门整体支出绩效自评结果</w:t>
      </w:r>
      <w:r>
        <w:rPr>
          <w:rFonts w:hint="eastAsia" w:ascii="仿宋_GB2312" w:hAnsi="仿宋_GB2312" w:eastAsia="仿宋_GB2312" w:cs="仿宋_GB2312"/>
          <w:b w:val="0"/>
          <w:bCs w:val="0"/>
          <w:color w:val="auto"/>
          <w:sz w:val="32"/>
          <w:szCs w:val="32"/>
          <w:lang w:val="en-US" w:eastAsia="zh-CN"/>
        </w:rPr>
        <w:t>公开由我单位提交岳阳市卫生健康委员会统一公开。</w:t>
      </w:r>
    </w:p>
    <w:p w14:paraId="6A829956">
      <w:pPr>
        <w:keepNext w:val="0"/>
        <w:keepLines w:val="0"/>
        <w:pageBreakBefore w:val="0"/>
        <w:widowControl/>
        <w:kinsoku/>
        <w:wordWrap/>
        <w:overflowPunct/>
        <w:topLinePunct w:val="0"/>
        <w:autoSpaceDE/>
        <w:autoSpaceDN/>
        <w:bidi w:val="0"/>
        <w:adjustRightInd/>
        <w:snapToGrid/>
        <w:spacing w:line="640" w:lineRule="exact"/>
        <w:ind w:firstLine="640" w:firstLineChars="200"/>
        <w:jc w:val="both"/>
        <w:textAlignment w:val="auto"/>
        <w:rPr>
          <w:rFonts w:hint="default" w:ascii="Times New Roman" w:hAnsi="Times New Roman" w:eastAsia="黑体" w:cs="Times New Roman"/>
          <w:sz w:val="32"/>
          <w:szCs w:val="32"/>
          <w:highlight w:val="none"/>
        </w:rPr>
      </w:pPr>
    </w:p>
    <w:p w14:paraId="32AB90B1">
      <w:pPr>
        <w:keepNext w:val="0"/>
        <w:keepLines w:val="0"/>
        <w:pageBreakBefore w:val="0"/>
        <w:widowControl/>
        <w:kinsoku/>
        <w:wordWrap/>
        <w:overflowPunct/>
        <w:topLinePunct w:val="0"/>
        <w:autoSpaceDE/>
        <w:autoSpaceDN/>
        <w:bidi w:val="0"/>
        <w:adjustRightInd/>
        <w:snapToGrid/>
        <w:spacing w:line="640" w:lineRule="exact"/>
        <w:ind w:firstLine="640" w:firstLineChars="200"/>
        <w:jc w:val="both"/>
        <w:textAlignment w:val="auto"/>
        <w:rPr>
          <w:rFonts w:hint="default" w:ascii="Times New Roman" w:hAnsi="Times New Roman" w:eastAsia="黑体" w:cs="Times New Roman"/>
          <w:sz w:val="32"/>
          <w:szCs w:val="32"/>
          <w:highlight w:val="none"/>
        </w:rPr>
      </w:pPr>
    </w:p>
    <w:p w14:paraId="16299C37">
      <w:pPr>
        <w:keepNext w:val="0"/>
        <w:keepLines w:val="0"/>
        <w:pageBreakBefore w:val="0"/>
        <w:widowControl/>
        <w:kinsoku/>
        <w:wordWrap/>
        <w:overflowPunct/>
        <w:topLinePunct w:val="0"/>
        <w:autoSpaceDE/>
        <w:autoSpaceDN/>
        <w:bidi w:val="0"/>
        <w:adjustRightInd/>
        <w:snapToGrid/>
        <w:spacing w:line="640" w:lineRule="exact"/>
        <w:ind w:firstLine="640" w:firstLineChars="200"/>
        <w:jc w:val="both"/>
        <w:textAlignment w:val="auto"/>
        <w:rPr>
          <w:rFonts w:hint="eastAsia" w:ascii="仿宋_GB2312" w:hAnsi="仿宋_GB2312" w:eastAsia="仿宋_GB2312" w:cs="仿宋_GB2312"/>
          <w:sz w:val="32"/>
          <w:szCs w:val="32"/>
          <w:highlight w:val="none"/>
        </w:rPr>
      </w:pPr>
    </w:p>
    <w:p w14:paraId="10DF4125">
      <w:pPr>
        <w:keepNext w:val="0"/>
        <w:keepLines w:val="0"/>
        <w:pageBreakBefore w:val="0"/>
        <w:widowControl/>
        <w:kinsoku/>
        <w:wordWrap/>
        <w:overflowPunct/>
        <w:topLinePunct w:val="0"/>
        <w:autoSpaceDE/>
        <w:autoSpaceDN/>
        <w:bidi w:val="0"/>
        <w:adjustRightInd/>
        <w:snapToGrid/>
        <w:spacing w:line="640" w:lineRule="exact"/>
        <w:jc w:val="both"/>
        <w:textAlignment w:val="auto"/>
        <w:rPr>
          <w:rFonts w:hint="eastAsia" w:ascii="黑体" w:hAnsi="黑体" w:eastAsia="黑体" w:cs="黑体"/>
          <w:sz w:val="32"/>
          <w:szCs w:val="32"/>
          <w:highlight w:val="none"/>
          <w:lang w:val="en-US" w:eastAsia="zh-CN"/>
        </w:rPr>
      </w:pPr>
      <w:r>
        <w:rPr>
          <w:rFonts w:hint="eastAsia" w:ascii="黑体" w:hAnsi="黑体" w:eastAsia="黑体" w:cs="黑体"/>
          <w:sz w:val="32"/>
          <w:szCs w:val="32"/>
          <w:highlight w:val="none"/>
        </w:rPr>
        <w:br w:type="page"/>
      </w:r>
      <w:r>
        <w:rPr>
          <w:rFonts w:hint="eastAsia" w:ascii="黑体" w:hAnsi="黑体" w:eastAsia="黑体" w:cs="黑体"/>
          <w:sz w:val="32"/>
          <w:szCs w:val="32"/>
          <w:highlight w:val="none"/>
        </w:rPr>
        <w:t>附件</w:t>
      </w:r>
      <w:r>
        <w:rPr>
          <w:rFonts w:hint="eastAsia" w:ascii="黑体" w:hAnsi="黑体" w:eastAsia="黑体" w:cs="黑体"/>
          <w:sz w:val="32"/>
          <w:szCs w:val="32"/>
          <w:highlight w:val="none"/>
          <w:lang w:val="en-US" w:eastAsia="zh-CN"/>
        </w:rPr>
        <w:t>5</w:t>
      </w:r>
    </w:p>
    <w:p w14:paraId="6B191E92">
      <w:pPr>
        <w:spacing w:before="313" w:beforeLines="100" w:after="120" w:afterLines="50"/>
        <w:jc w:val="center"/>
        <w:rPr>
          <w:rFonts w:hint="eastAsia" w:ascii="方正小标宋简体" w:hAnsi="方正小标宋简体" w:eastAsia="方正小标宋简体" w:cs="方正小标宋简体"/>
          <w:spacing w:val="-6"/>
          <w:sz w:val="36"/>
          <w:szCs w:val="36"/>
          <w:highlight w:val="none"/>
        </w:rPr>
      </w:pPr>
      <w:r>
        <w:rPr>
          <w:rFonts w:hint="eastAsia" w:ascii="方正小标宋简体" w:hAnsi="方正小标宋简体" w:eastAsia="方正小标宋简体" w:cs="方正小标宋简体"/>
          <w:sz w:val="36"/>
          <w:szCs w:val="36"/>
          <w:highlight w:val="none"/>
        </w:rPr>
        <w:t>部门整体支出</w:t>
      </w:r>
      <w:r>
        <w:rPr>
          <w:rFonts w:hint="eastAsia" w:ascii="方正小标宋简体" w:hAnsi="方正小标宋简体" w:eastAsia="方正小标宋简体" w:cs="方正小标宋简体"/>
          <w:spacing w:val="-6"/>
          <w:sz w:val="36"/>
          <w:szCs w:val="36"/>
          <w:highlight w:val="none"/>
        </w:rPr>
        <w:t>绩效自评工作考核评分表</w:t>
      </w:r>
    </w:p>
    <w:tbl>
      <w:tblPr>
        <w:tblStyle w:val="9"/>
        <w:tblW w:w="9941" w:type="dxa"/>
        <w:jc w:val="center"/>
        <w:tblLayout w:type="fixed"/>
        <w:tblCellMar>
          <w:top w:w="0" w:type="dxa"/>
          <w:left w:w="108" w:type="dxa"/>
          <w:bottom w:w="0" w:type="dxa"/>
          <w:right w:w="108" w:type="dxa"/>
        </w:tblCellMar>
      </w:tblPr>
      <w:tblGrid>
        <w:gridCol w:w="745"/>
        <w:gridCol w:w="1174"/>
        <w:gridCol w:w="5000"/>
        <w:gridCol w:w="3022"/>
      </w:tblGrid>
      <w:tr w14:paraId="7B6C978E">
        <w:tblPrEx>
          <w:tblCellMar>
            <w:top w:w="0" w:type="dxa"/>
            <w:left w:w="108" w:type="dxa"/>
            <w:bottom w:w="0" w:type="dxa"/>
            <w:right w:w="108" w:type="dxa"/>
          </w:tblCellMar>
        </w:tblPrEx>
        <w:trPr>
          <w:tblHeader/>
          <w:jc w:val="center"/>
        </w:trPr>
        <w:tc>
          <w:tcPr>
            <w:tcW w:w="745" w:type="dxa"/>
            <w:tcBorders>
              <w:top w:val="single" w:color="auto" w:sz="4" w:space="0"/>
              <w:left w:val="single" w:color="auto" w:sz="4" w:space="0"/>
              <w:bottom w:val="single" w:color="auto" w:sz="4" w:space="0"/>
              <w:right w:val="single" w:color="auto" w:sz="4" w:space="0"/>
            </w:tcBorders>
            <w:noWrap w:val="0"/>
            <w:vAlign w:val="center"/>
          </w:tcPr>
          <w:p w14:paraId="087D0EBE">
            <w:pPr>
              <w:spacing w:line="300" w:lineRule="exact"/>
              <w:jc w:val="center"/>
              <w:rPr>
                <w:rFonts w:hint="default" w:ascii="Times New Roman" w:hAnsi="Times New Roman" w:eastAsia="黑体" w:cs="Times New Roman"/>
                <w:bCs/>
                <w:sz w:val="21"/>
                <w:szCs w:val="21"/>
                <w:highlight w:val="none"/>
              </w:rPr>
            </w:pPr>
            <w:r>
              <w:rPr>
                <w:rFonts w:hint="default" w:ascii="Times New Roman" w:hAnsi="Times New Roman" w:eastAsia="黑体" w:cs="Times New Roman"/>
                <w:bCs/>
                <w:sz w:val="21"/>
                <w:szCs w:val="21"/>
                <w:highlight w:val="none"/>
              </w:rPr>
              <w:t>一级指标</w:t>
            </w:r>
          </w:p>
        </w:tc>
        <w:tc>
          <w:tcPr>
            <w:tcW w:w="1174" w:type="dxa"/>
            <w:tcBorders>
              <w:top w:val="single" w:color="auto" w:sz="4" w:space="0"/>
              <w:left w:val="nil"/>
              <w:bottom w:val="single" w:color="auto" w:sz="4" w:space="0"/>
              <w:right w:val="single" w:color="auto" w:sz="4" w:space="0"/>
            </w:tcBorders>
            <w:noWrap w:val="0"/>
            <w:vAlign w:val="center"/>
          </w:tcPr>
          <w:p w14:paraId="66305D47">
            <w:pPr>
              <w:spacing w:line="300" w:lineRule="exact"/>
              <w:jc w:val="center"/>
              <w:rPr>
                <w:rFonts w:hint="default" w:ascii="Times New Roman" w:hAnsi="Times New Roman" w:eastAsia="黑体" w:cs="Times New Roman"/>
                <w:bCs/>
                <w:sz w:val="21"/>
                <w:szCs w:val="21"/>
                <w:highlight w:val="none"/>
              </w:rPr>
            </w:pPr>
            <w:r>
              <w:rPr>
                <w:rFonts w:hint="default" w:ascii="Times New Roman" w:hAnsi="Times New Roman" w:eastAsia="黑体" w:cs="Times New Roman"/>
                <w:bCs/>
                <w:sz w:val="21"/>
                <w:szCs w:val="21"/>
                <w:highlight w:val="none"/>
              </w:rPr>
              <w:t>二级指标</w:t>
            </w:r>
          </w:p>
        </w:tc>
        <w:tc>
          <w:tcPr>
            <w:tcW w:w="5000" w:type="dxa"/>
            <w:tcBorders>
              <w:top w:val="single" w:color="auto" w:sz="4" w:space="0"/>
              <w:left w:val="nil"/>
              <w:bottom w:val="single" w:color="auto" w:sz="4" w:space="0"/>
              <w:right w:val="single" w:color="auto" w:sz="4" w:space="0"/>
            </w:tcBorders>
            <w:noWrap w:val="0"/>
            <w:vAlign w:val="center"/>
          </w:tcPr>
          <w:p w14:paraId="16A3B0D6">
            <w:pPr>
              <w:spacing w:line="300" w:lineRule="exact"/>
              <w:jc w:val="center"/>
              <w:rPr>
                <w:rFonts w:hint="default" w:ascii="Times New Roman" w:hAnsi="Times New Roman" w:eastAsia="黑体" w:cs="Times New Roman"/>
                <w:bCs/>
                <w:sz w:val="21"/>
                <w:szCs w:val="21"/>
                <w:highlight w:val="none"/>
              </w:rPr>
            </w:pPr>
            <w:r>
              <w:rPr>
                <w:rFonts w:hint="default" w:ascii="Times New Roman" w:hAnsi="Times New Roman" w:eastAsia="黑体" w:cs="Times New Roman"/>
                <w:bCs/>
                <w:sz w:val="21"/>
                <w:szCs w:val="21"/>
                <w:highlight w:val="none"/>
              </w:rPr>
              <w:t>评分标准</w:t>
            </w:r>
          </w:p>
        </w:tc>
        <w:tc>
          <w:tcPr>
            <w:tcW w:w="3022" w:type="dxa"/>
            <w:tcBorders>
              <w:top w:val="single" w:color="auto" w:sz="4" w:space="0"/>
              <w:left w:val="nil"/>
              <w:bottom w:val="single" w:color="auto" w:sz="4" w:space="0"/>
              <w:right w:val="single" w:color="auto" w:sz="4" w:space="0"/>
            </w:tcBorders>
            <w:noWrap w:val="0"/>
            <w:vAlign w:val="center"/>
          </w:tcPr>
          <w:p w14:paraId="1D8B13B7">
            <w:pPr>
              <w:spacing w:line="300" w:lineRule="exact"/>
              <w:jc w:val="center"/>
              <w:rPr>
                <w:rFonts w:hint="default" w:ascii="Times New Roman" w:hAnsi="Times New Roman" w:eastAsia="黑体" w:cs="Times New Roman"/>
                <w:bCs/>
                <w:sz w:val="21"/>
                <w:szCs w:val="21"/>
                <w:highlight w:val="none"/>
              </w:rPr>
            </w:pPr>
            <w:r>
              <w:rPr>
                <w:rFonts w:hint="default" w:ascii="Times New Roman" w:hAnsi="Times New Roman" w:eastAsia="黑体" w:cs="Times New Roman"/>
                <w:bCs/>
                <w:sz w:val="21"/>
                <w:szCs w:val="21"/>
                <w:highlight w:val="none"/>
              </w:rPr>
              <w:t>所需佐证材料</w:t>
            </w:r>
          </w:p>
        </w:tc>
      </w:tr>
      <w:tr w14:paraId="695A8766">
        <w:tblPrEx>
          <w:tblCellMar>
            <w:top w:w="0" w:type="dxa"/>
            <w:left w:w="108" w:type="dxa"/>
            <w:bottom w:w="0" w:type="dxa"/>
            <w:right w:w="108" w:type="dxa"/>
          </w:tblCellMar>
        </w:tblPrEx>
        <w:trPr>
          <w:jc w:val="center"/>
        </w:trPr>
        <w:tc>
          <w:tcPr>
            <w:tcW w:w="745" w:type="dxa"/>
            <w:vMerge w:val="restart"/>
            <w:tcBorders>
              <w:top w:val="single" w:color="auto" w:sz="4" w:space="0"/>
              <w:left w:val="single" w:color="auto" w:sz="4" w:space="0"/>
              <w:right w:val="single" w:color="auto" w:sz="4" w:space="0"/>
            </w:tcBorders>
            <w:noWrap w:val="0"/>
            <w:vAlign w:val="center"/>
          </w:tcPr>
          <w:p w14:paraId="2F1CB45E">
            <w:pPr>
              <w:spacing w:line="300" w:lineRule="exact"/>
              <w:jc w:val="center"/>
              <w:rPr>
                <w:rFonts w:hint="default" w:ascii="Times New Roman" w:hAnsi="Times New Roman" w:eastAsia="仿宋_GB2312" w:cs="Times New Roman"/>
                <w:sz w:val="20"/>
                <w:szCs w:val="20"/>
                <w:highlight w:val="none"/>
              </w:rPr>
            </w:pPr>
            <w:r>
              <w:rPr>
                <w:rFonts w:hint="default" w:ascii="Times New Roman" w:hAnsi="Times New Roman" w:eastAsia="仿宋_GB2312" w:cs="Times New Roman"/>
                <w:sz w:val="20"/>
                <w:szCs w:val="20"/>
                <w:highlight w:val="none"/>
              </w:rPr>
              <w:t>布置工作</w:t>
            </w:r>
          </w:p>
          <w:p w14:paraId="339244D8">
            <w:pPr>
              <w:spacing w:line="300" w:lineRule="exact"/>
              <w:jc w:val="center"/>
              <w:rPr>
                <w:rFonts w:hint="default" w:ascii="Times New Roman" w:hAnsi="Times New Roman" w:eastAsia="仿宋_GB2312" w:cs="Times New Roman"/>
                <w:sz w:val="20"/>
                <w:szCs w:val="20"/>
                <w:highlight w:val="none"/>
              </w:rPr>
            </w:pPr>
          </w:p>
          <w:p w14:paraId="7560D774">
            <w:pPr>
              <w:spacing w:line="300" w:lineRule="exact"/>
              <w:jc w:val="left"/>
              <w:rPr>
                <w:rFonts w:hint="default" w:ascii="Times New Roman" w:hAnsi="Times New Roman" w:eastAsia="仿宋_GB2312" w:cs="Times New Roman"/>
                <w:sz w:val="20"/>
                <w:szCs w:val="20"/>
                <w:highlight w:val="none"/>
              </w:rPr>
            </w:pPr>
            <w:r>
              <w:rPr>
                <w:rFonts w:hint="default" w:ascii="Times New Roman" w:hAnsi="Times New Roman" w:eastAsia="仿宋_GB2312" w:cs="Times New Roman"/>
                <w:sz w:val="20"/>
                <w:szCs w:val="20"/>
                <w:highlight w:val="none"/>
              </w:rPr>
              <w:t>10分</w:t>
            </w:r>
          </w:p>
        </w:tc>
        <w:tc>
          <w:tcPr>
            <w:tcW w:w="1174" w:type="dxa"/>
            <w:tcBorders>
              <w:top w:val="single" w:color="auto" w:sz="4" w:space="0"/>
              <w:left w:val="nil"/>
              <w:right w:val="single" w:color="auto" w:sz="4" w:space="0"/>
            </w:tcBorders>
            <w:noWrap w:val="0"/>
            <w:vAlign w:val="center"/>
          </w:tcPr>
          <w:p w14:paraId="3F6C315E">
            <w:pPr>
              <w:spacing w:line="300" w:lineRule="exact"/>
              <w:jc w:val="center"/>
              <w:rPr>
                <w:rFonts w:hint="default" w:ascii="Times New Roman" w:hAnsi="Times New Roman" w:eastAsia="仿宋_GB2312" w:cs="Times New Roman"/>
                <w:sz w:val="20"/>
                <w:szCs w:val="20"/>
                <w:highlight w:val="none"/>
              </w:rPr>
            </w:pPr>
            <w:r>
              <w:rPr>
                <w:rFonts w:hint="default" w:ascii="Times New Roman" w:hAnsi="Times New Roman" w:eastAsia="仿宋_GB2312" w:cs="Times New Roman"/>
                <w:sz w:val="20"/>
                <w:szCs w:val="20"/>
                <w:highlight w:val="none"/>
              </w:rPr>
              <w:t>自评通知</w:t>
            </w:r>
          </w:p>
          <w:p w14:paraId="71D4B3AE">
            <w:pPr>
              <w:spacing w:line="300" w:lineRule="exact"/>
              <w:jc w:val="center"/>
              <w:rPr>
                <w:rFonts w:hint="default" w:ascii="Times New Roman" w:hAnsi="Times New Roman" w:eastAsia="仿宋_GB2312" w:cs="Times New Roman"/>
                <w:sz w:val="20"/>
                <w:szCs w:val="20"/>
                <w:highlight w:val="none"/>
              </w:rPr>
            </w:pPr>
            <w:r>
              <w:rPr>
                <w:rFonts w:hint="default" w:ascii="Times New Roman" w:hAnsi="Times New Roman" w:eastAsia="仿宋_GB2312" w:cs="Times New Roman"/>
                <w:sz w:val="20"/>
                <w:szCs w:val="20"/>
                <w:highlight w:val="none"/>
              </w:rPr>
              <w:t>（8分）</w:t>
            </w:r>
          </w:p>
        </w:tc>
        <w:tc>
          <w:tcPr>
            <w:tcW w:w="5000" w:type="dxa"/>
            <w:tcBorders>
              <w:top w:val="single" w:color="auto" w:sz="4" w:space="0"/>
              <w:left w:val="nil"/>
              <w:bottom w:val="single" w:color="auto" w:sz="4" w:space="0"/>
              <w:right w:val="single" w:color="auto" w:sz="4" w:space="0"/>
            </w:tcBorders>
            <w:noWrap w:val="0"/>
            <w:vAlign w:val="center"/>
          </w:tcPr>
          <w:p w14:paraId="35C85E54">
            <w:pPr>
              <w:spacing w:line="300" w:lineRule="exact"/>
              <w:rPr>
                <w:rFonts w:hint="default" w:ascii="Times New Roman" w:hAnsi="Times New Roman" w:eastAsia="仿宋_GB2312" w:cs="Times New Roman"/>
                <w:sz w:val="20"/>
                <w:szCs w:val="20"/>
                <w:highlight w:val="none"/>
              </w:rPr>
            </w:pPr>
            <w:r>
              <w:rPr>
                <w:rFonts w:hint="default" w:ascii="Times New Roman" w:hAnsi="Times New Roman" w:eastAsia="仿宋_GB2312" w:cs="Times New Roman"/>
                <w:sz w:val="20"/>
                <w:szCs w:val="20"/>
                <w:highlight w:val="none"/>
              </w:rPr>
              <w:t>1</w:t>
            </w:r>
            <w:r>
              <w:rPr>
                <w:rFonts w:hint="eastAsia" w:ascii="Times New Roman" w:hAnsi="Times New Roman" w:eastAsia="仿宋_GB2312" w:cs="Times New Roman"/>
                <w:sz w:val="20"/>
                <w:szCs w:val="20"/>
                <w:highlight w:val="none"/>
                <w:lang w:val="en-US" w:eastAsia="zh-CN"/>
              </w:rPr>
              <w:t>.</w:t>
            </w:r>
            <w:r>
              <w:rPr>
                <w:rFonts w:hint="default" w:ascii="Times New Roman" w:hAnsi="Times New Roman" w:eastAsia="仿宋_GB2312" w:cs="Times New Roman"/>
                <w:sz w:val="20"/>
                <w:szCs w:val="20"/>
                <w:highlight w:val="none"/>
              </w:rPr>
              <w:t>印发绩效自评通知的得2分，否则不得分。</w:t>
            </w:r>
          </w:p>
          <w:p w14:paraId="724F5FD9">
            <w:pPr>
              <w:spacing w:line="300" w:lineRule="exact"/>
              <w:rPr>
                <w:rFonts w:hint="default" w:ascii="Times New Roman" w:hAnsi="Times New Roman" w:eastAsia="仿宋_GB2312" w:cs="Times New Roman"/>
                <w:sz w:val="20"/>
                <w:szCs w:val="20"/>
                <w:highlight w:val="none"/>
              </w:rPr>
            </w:pPr>
            <w:r>
              <w:rPr>
                <w:rFonts w:hint="default" w:ascii="Times New Roman" w:hAnsi="Times New Roman" w:eastAsia="仿宋_GB2312" w:cs="Times New Roman"/>
                <w:sz w:val="20"/>
                <w:szCs w:val="20"/>
                <w:highlight w:val="none"/>
              </w:rPr>
              <w:t>2</w:t>
            </w:r>
            <w:r>
              <w:rPr>
                <w:rFonts w:hint="eastAsia" w:ascii="Times New Roman" w:hAnsi="Times New Roman" w:eastAsia="仿宋_GB2312" w:cs="Times New Roman"/>
                <w:sz w:val="20"/>
                <w:szCs w:val="20"/>
                <w:highlight w:val="none"/>
                <w:lang w:val="en-US" w:eastAsia="zh-CN"/>
              </w:rPr>
              <w:t>.</w:t>
            </w:r>
            <w:r>
              <w:rPr>
                <w:rFonts w:hint="default" w:ascii="Times New Roman" w:hAnsi="Times New Roman" w:eastAsia="仿宋_GB2312" w:cs="Times New Roman"/>
                <w:sz w:val="20"/>
                <w:szCs w:val="20"/>
                <w:highlight w:val="none"/>
              </w:rPr>
              <w:t>按照本规程规定，绩效自评通知包括自评范围、自评主要依据、自评主要内容、自评程序和步骤、有关要求等内容，并附有本通知要求的附件的，得6分；否则缺1项扣1分，最多扣6分。</w:t>
            </w:r>
          </w:p>
        </w:tc>
        <w:tc>
          <w:tcPr>
            <w:tcW w:w="3022" w:type="dxa"/>
            <w:tcBorders>
              <w:top w:val="single" w:color="auto" w:sz="4" w:space="0"/>
              <w:left w:val="nil"/>
              <w:bottom w:val="single" w:color="auto" w:sz="4" w:space="0"/>
              <w:right w:val="single" w:color="auto" w:sz="4" w:space="0"/>
            </w:tcBorders>
            <w:noWrap w:val="0"/>
            <w:vAlign w:val="center"/>
          </w:tcPr>
          <w:p w14:paraId="58EB6051">
            <w:pPr>
              <w:spacing w:line="300" w:lineRule="exact"/>
              <w:rPr>
                <w:rFonts w:hint="default" w:ascii="Times New Roman" w:hAnsi="Times New Roman" w:eastAsia="仿宋_GB2312" w:cs="Times New Roman"/>
                <w:sz w:val="20"/>
                <w:szCs w:val="20"/>
                <w:highlight w:val="none"/>
              </w:rPr>
            </w:pPr>
            <w:r>
              <w:rPr>
                <w:rFonts w:hint="default" w:ascii="Times New Roman" w:hAnsi="Times New Roman" w:eastAsia="仿宋_GB2312" w:cs="Times New Roman"/>
                <w:sz w:val="20"/>
                <w:szCs w:val="20"/>
                <w:highlight w:val="none"/>
              </w:rPr>
              <w:t>绩效自评通知盖章的电子版</w:t>
            </w:r>
          </w:p>
        </w:tc>
      </w:tr>
      <w:tr w14:paraId="3B0840DD">
        <w:tblPrEx>
          <w:tblCellMar>
            <w:top w:w="0" w:type="dxa"/>
            <w:left w:w="108" w:type="dxa"/>
            <w:bottom w:w="0" w:type="dxa"/>
            <w:right w:w="108" w:type="dxa"/>
          </w:tblCellMar>
        </w:tblPrEx>
        <w:trPr>
          <w:trHeight w:val="996" w:hRule="atLeast"/>
          <w:jc w:val="center"/>
        </w:trPr>
        <w:tc>
          <w:tcPr>
            <w:tcW w:w="745" w:type="dxa"/>
            <w:vMerge w:val="continue"/>
            <w:tcBorders>
              <w:left w:val="single" w:color="auto" w:sz="4" w:space="0"/>
              <w:bottom w:val="single" w:color="auto" w:sz="4" w:space="0"/>
              <w:right w:val="single" w:color="auto" w:sz="4" w:space="0"/>
            </w:tcBorders>
            <w:noWrap w:val="0"/>
            <w:vAlign w:val="center"/>
          </w:tcPr>
          <w:p w14:paraId="4C1CBB15">
            <w:pPr>
              <w:spacing w:line="300" w:lineRule="exact"/>
              <w:rPr>
                <w:rFonts w:hint="default" w:ascii="Times New Roman" w:hAnsi="Times New Roman" w:eastAsia="仿宋_GB2312" w:cs="Times New Roman"/>
                <w:sz w:val="20"/>
                <w:szCs w:val="20"/>
                <w:highlight w:val="none"/>
              </w:rPr>
            </w:pPr>
          </w:p>
        </w:tc>
        <w:tc>
          <w:tcPr>
            <w:tcW w:w="1174" w:type="dxa"/>
            <w:tcBorders>
              <w:top w:val="single" w:color="auto" w:sz="4" w:space="0"/>
              <w:left w:val="nil"/>
              <w:bottom w:val="single" w:color="auto" w:sz="4" w:space="0"/>
              <w:right w:val="single" w:color="auto" w:sz="4" w:space="0"/>
            </w:tcBorders>
            <w:noWrap w:val="0"/>
            <w:vAlign w:val="center"/>
          </w:tcPr>
          <w:p w14:paraId="117340CD">
            <w:pPr>
              <w:spacing w:line="300" w:lineRule="exact"/>
              <w:jc w:val="center"/>
              <w:rPr>
                <w:rFonts w:hint="default" w:ascii="Times New Roman" w:hAnsi="Times New Roman" w:eastAsia="仿宋_GB2312" w:cs="Times New Roman"/>
                <w:sz w:val="20"/>
                <w:szCs w:val="20"/>
                <w:highlight w:val="none"/>
              </w:rPr>
            </w:pPr>
            <w:r>
              <w:rPr>
                <w:rFonts w:hint="default" w:ascii="Times New Roman" w:hAnsi="Times New Roman" w:eastAsia="仿宋_GB2312" w:cs="Times New Roman"/>
                <w:sz w:val="20"/>
                <w:szCs w:val="20"/>
                <w:highlight w:val="none"/>
              </w:rPr>
              <w:t>工作小组</w:t>
            </w:r>
          </w:p>
          <w:p w14:paraId="6FC0B859">
            <w:pPr>
              <w:spacing w:line="300" w:lineRule="exact"/>
              <w:jc w:val="center"/>
              <w:rPr>
                <w:rFonts w:hint="default" w:ascii="Times New Roman" w:hAnsi="Times New Roman" w:eastAsia="仿宋_GB2312" w:cs="Times New Roman"/>
                <w:sz w:val="20"/>
                <w:szCs w:val="20"/>
                <w:highlight w:val="none"/>
              </w:rPr>
            </w:pPr>
            <w:r>
              <w:rPr>
                <w:rFonts w:hint="default" w:ascii="Times New Roman" w:hAnsi="Times New Roman" w:eastAsia="仿宋_GB2312" w:cs="Times New Roman"/>
                <w:sz w:val="20"/>
                <w:szCs w:val="20"/>
                <w:highlight w:val="none"/>
              </w:rPr>
              <w:t>（2分）</w:t>
            </w:r>
          </w:p>
        </w:tc>
        <w:tc>
          <w:tcPr>
            <w:tcW w:w="5000" w:type="dxa"/>
            <w:tcBorders>
              <w:top w:val="single" w:color="auto" w:sz="4" w:space="0"/>
              <w:left w:val="nil"/>
              <w:bottom w:val="single" w:color="auto" w:sz="4" w:space="0"/>
              <w:right w:val="single" w:color="auto" w:sz="4" w:space="0"/>
            </w:tcBorders>
            <w:noWrap w:val="0"/>
            <w:vAlign w:val="center"/>
          </w:tcPr>
          <w:p w14:paraId="16210817">
            <w:pPr>
              <w:spacing w:line="300" w:lineRule="exact"/>
              <w:rPr>
                <w:rFonts w:hint="default" w:ascii="Times New Roman" w:hAnsi="Times New Roman" w:eastAsia="仿宋_GB2312" w:cs="Times New Roman"/>
                <w:sz w:val="20"/>
                <w:szCs w:val="20"/>
                <w:highlight w:val="none"/>
              </w:rPr>
            </w:pPr>
            <w:r>
              <w:rPr>
                <w:rFonts w:hint="default" w:ascii="Times New Roman" w:hAnsi="Times New Roman" w:eastAsia="仿宋_GB2312" w:cs="Times New Roman"/>
                <w:sz w:val="20"/>
                <w:szCs w:val="20"/>
                <w:highlight w:val="none"/>
              </w:rPr>
              <w:t>成立绩效自评工作小组的得2分，否则不得分。</w:t>
            </w:r>
          </w:p>
        </w:tc>
        <w:tc>
          <w:tcPr>
            <w:tcW w:w="3022" w:type="dxa"/>
            <w:tcBorders>
              <w:top w:val="single" w:color="auto" w:sz="4" w:space="0"/>
              <w:left w:val="nil"/>
              <w:bottom w:val="single" w:color="auto" w:sz="4" w:space="0"/>
              <w:right w:val="single" w:color="auto" w:sz="4" w:space="0"/>
            </w:tcBorders>
            <w:noWrap w:val="0"/>
            <w:vAlign w:val="center"/>
          </w:tcPr>
          <w:p w14:paraId="063960B0">
            <w:pPr>
              <w:spacing w:line="300" w:lineRule="exact"/>
              <w:rPr>
                <w:rFonts w:hint="default" w:ascii="Times New Roman" w:hAnsi="Times New Roman" w:eastAsia="仿宋_GB2312" w:cs="Times New Roman"/>
                <w:sz w:val="20"/>
                <w:szCs w:val="20"/>
                <w:highlight w:val="none"/>
              </w:rPr>
            </w:pPr>
            <w:r>
              <w:rPr>
                <w:rFonts w:hint="default" w:ascii="Times New Roman" w:hAnsi="Times New Roman" w:eastAsia="仿宋_GB2312" w:cs="Times New Roman"/>
                <w:sz w:val="20"/>
                <w:szCs w:val="20"/>
                <w:highlight w:val="none"/>
              </w:rPr>
              <w:t>本部门、本单位预算绩效管理领导小组</w:t>
            </w:r>
            <w:r>
              <w:rPr>
                <w:rFonts w:hint="default" w:ascii="Times New Roman" w:hAnsi="Times New Roman" w:eastAsia="仿宋_GB2312" w:cs="Times New Roman"/>
                <w:spacing w:val="0"/>
                <w:sz w:val="20"/>
                <w:szCs w:val="20"/>
                <w:highlight w:val="none"/>
                <w:lang w:val="en-US" w:eastAsia="zh-CN"/>
              </w:rPr>
              <w:t>/</w:t>
            </w:r>
            <w:r>
              <w:rPr>
                <w:rFonts w:hint="default" w:ascii="Times New Roman" w:hAnsi="Times New Roman" w:eastAsia="仿宋_GB2312" w:cs="Times New Roman"/>
                <w:sz w:val="20"/>
                <w:szCs w:val="20"/>
                <w:highlight w:val="none"/>
              </w:rPr>
              <w:t>绩效评价工作小组</w:t>
            </w:r>
            <w:r>
              <w:rPr>
                <w:rFonts w:hint="default" w:ascii="Times New Roman" w:hAnsi="Times New Roman" w:eastAsia="仿宋_GB2312" w:cs="Times New Roman"/>
                <w:sz w:val="20"/>
                <w:szCs w:val="20"/>
                <w:highlight w:val="none"/>
                <w:lang w:eastAsia="zh-CN"/>
              </w:rPr>
              <w:t>有关</w:t>
            </w:r>
            <w:r>
              <w:rPr>
                <w:rFonts w:hint="default" w:ascii="Times New Roman" w:hAnsi="Times New Roman" w:eastAsia="仿宋_GB2312" w:cs="Times New Roman"/>
                <w:spacing w:val="0"/>
                <w:sz w:val="20"/>
                <w:szCs w:val="20"/>
                <w:highlight w:val="none"/>
              </w:rPr>
              <w:t>文件</w:t>
            </w:r>
            <w:r>
              <w:rPr>
                <w:rFonts w:hint="default" w:ascii="Times New Roman" w:hAnsi="Times New Roman" w:eastAsia="仿宋_GB2312" w:cs="Times New Roman"/>
                <w:sz w:val="20"/>
                <w:szCs w:val="20"/>
                <w:highlight w:val="none"/>
              </w:rPr>
              <w:t>盖章的电子版</w:t>
            </w:r>
          </w:p>
        </w:tc>
      </w:tr>
      <w:tr w14:paraId="259E8FB4">
        <w:tblPrEx>
          <w:tblCellMar>
            <w:top w:w="0" w:type="dxa"/>
            <w:left w:w="108" w:type="dxa"/>
            <w:bottom w:w="0" w:type="dxa"/>
            <w:right w:w="108" w:type="dxa"/>
          </w:tblCellMar>
        </w:tblPrEx>
        <w:trPr>
          <w:trHeight w:val="1320" w:hRule="atLeast"/>
          <w:jc w:val="center"/>
        </w:trPr>
        <w:tc>
          <w:tcPr>
            <w:tcW w:w="745" w:type="dxa"/>
            <w:vMerge w:val="restart"/>
            <w:tcBorders>
              <w:top w:val="single" w:color="auto" w:sz="4" w:space="0"/>
              <w:left w:val="single" w:color="auto" w:sz="4" w:space="0"/>
              <w:right w:val="single" w:color="auto" w:sz="4" w:space="0"/>
            </w:tcBorders>
            <w:noWrap w:val="0"/>
            <w:vAlign w:val="center"/>
          </w:tcPr>
          <w:p w14:paraId="322589E2">
            <w:pPr>
              <w:spacing w:line="300" w:lineRule="exact"/>
              <w:jc w:val="center"/>
              <w:rPr>
                <w:rFonts w:hint="default" w:ascii="Times New Roman" w:hAnsi="Times New Roman" w:eastAsia="仿宋_GB2312" w:cs="Times New Roman"/>
                <w:sz w:val="20"/>
                <w:szCs w:val="20"/>
                <w:highlight w:val="none"/>
              </w:rPr>
            </w:pPr>
            <w:r>
              <w:rPr>
                <w:rFonts w:hint="default" w:ascii="Times New Roman" w:hAnsi="Times New Roman" w:eastAsia="仿宋_GB2312" w:cs="Times New Roman"/>
                <w:sz w:val="20"/>
                <w:szCs w:val="20"/>
                <w:highlight w:val="none"/>
              </w:rPr>
              <w:t>实施评价</w:t>
            </w:r>
          </w:p>
          <w:p w14:paraId="06FEA11B">
            <w:pPr>
              <w:spacing w:line="300" w:lineRule="exact"/>
              <w:jc w:val="center"/>
              <w:rPr>
                <w:rFonts w:hint="default" w:ascii="Times New Roman" w:hAnsi="Times New Roman" w:eastAsia="仿宋_GB2312" w:cs="Times New Roman"/>
                <w:sz w:val="20"/>
                <w:szCs w:val="20"/>
                <w:highlight w:val="none"/>
              </w:rPr>
            </w:pPr>
          </w:p>
          <w:p w14:paraId="56FBFEB6">
            <w:pPr>
              <w:spacing w:line="300" w:lineRule="exact"/>
              <w:jc w:val="center"/>
              <w:rPr>
                <w:rFonts w:hint="default" w:ascii="Times New Roman" w:hAnsi="Times New Roman" w:eastAsia="仿宋_GB2312" w:cs="Times New Roman"/>
                <w:sz w:val="20"/>
                <w:szCs w:val="20"/>
                <w:highlight w:val="none"/>
              </w:rPr>
            </w:pPr>
            <w:r>
              <w:rPr>
                <w:rFonts w:hint="default" w:ascii="Times New Roman" w:hAnsi="Times New Roman" w:eastAsia="仿宋_GB2312" w:cs="Times New Roman"/>
                <w:sz w:val="20"/>
                <w:szCs w:val="20"/>
                <w:highlight w:val="none"/>
              </w:rPr>
              <w:t>20分</w:t>
            </w:r>
          </w:p>
        </w:tc>
        <w:tc>
          <w:tcPr>
            <w:tcW w:w="1174" w:type="dxa"/>
            <w:tcBorders>
              <w:top w:val="single" w:color="auto" w:sz="4" w:space="0"/>
              <w:left w:val="nil"/>
              <w:bottom w:val="single" w:color="auto" w:sz="4" w:space="0"/>
              <w:right w:val="single" w:color="auto" w:sz="4" w:space="0"/>
            </w:tcBorders>
            <w:noWrap w:val="0"/>
            <w:vAlign w:val="center"/>
          </w:tcPr>
          <w:p w14:paraId="06D6E4E8">
            <w:pPr>
              <w:spacing w:line="300" w:lineRule="exact"/>
              <w:jc w:val="center"/>
              <w:rPr>
                <w:rFonts w:hint="default" w:ascii="Times New Roman" w:hAnsi="Times New Roman" w:eastAsia="仿宋_GB2312" w:cs="Times New Roman"/>
                <w:sz w:val="20"/>
                <w:szCs w:val="20"/>
                <w:highlight w:val="none"/>
              </w:rPr>
            </w:pPr>
            <w:r>
              <w:rPr>
                <w:rFonts w:hint="default" w:ascii="Times New Roman" w:hAnsi="Times New Roman" w:eastAsia="仿宋_GB2312" w:cs="Times New Roman"/>
                <w:sz w:val="20"/>
                <w:szCs w:val="20"/>
                <w:highlight w:val="none"/>
              </w:rPr>
              <w:t>单位自查</w:t>
            </w:r>
          </w:p>
          <w:p w14:paraId="57509306">
            <w:pPr>
              <w:spacing w:line="300" w:lineRule="exact"/>
              <w:jc w:val="center"/>
              <w:rPr>
                <w:rFonts w:hint="default" w:ascii="Times New Roman" w:hAnsi="Times New Roman" w:eastAsia="仿宋_GB2312" w:cs="Times New Roman"/>
                <w:sz w:val="20"/>
                <w:szCs w:val="20"/>
                <w:highlight w:val="none"/>
              </w:rPr>
            </w:pPr>
            <w:r>
              <w:rPr>
                <w:rFonts w:hint="default" w:ascii="Times New Roman" w:hAnsi="Times New Roman" w:eastAsia="仿宋_GB2312" w:cs="Times New Roman"/>
                <w:sz w:val="20"/>
                <w:szCs w:val="20"/>
                <w:highlight w:val="none"/>
              </w:rPr>
              <w:t>（10分）</w:t>
            </w:r>
          </w:p>
        </w:tc>
        <w:tc>
          <w:tcPr>
            <w:tcW w:w="5000" w:type="dxa"/>
            <w:tcBorders>
              <w:top w:val="single" w:color="auto" w:sz="4" w:space="0"/>
              <w:left w:val="nil"/>
              <w:bottom w:val="single" w:color="auto" w:sz="4" w:space="0"/>
              <w:right w:val="single" w:color="auto" w:sz="4" w:space="0"/>
            </w:tcBorders>
            <w:noWrap w:val="0"/>
            <w:vAlign w:val="center"/>
          </w:tcPr>
          <w:p w14:paraId="4251907B">
            <w:pPr>
              <w:spacing w:line="300" w:lineRule="exact"/>
              <w:rPr>
                <w:rFonts w:hint="default" w:ascii="Times New Roman" w:hAnsi="Times New Roman" w:eastAsia="仿宋_GB2312" w:cs="Times New Roman"/>
                <w:sz w:val="20"/>
                <w:szCs w:val="20"/>
                <w:highlight w:val="none"/>
              </w:rPr>
            </w:pPr>
            <w:r>
              <w:rPr>
                <w:rFonts w:hint="eastAsia" w:ascii="Times New Roman" w:hAnsi="Times New Roman" w:eastAsia="仿宋_GB2312" w:cs="Times New Roman"/>
                <w:sz w:val="20"/>
                <w:szCs w:val="20"/>
                <w:highlight w:val="none"/>
                <w:lang w:eastAsia="zh-CN"/>
              </w:rPr>
              <w:t>市级</w:t>
            </w:r>
            <w:r>
              <w:rPr>
                <w:rFonts w:hint="default" w:ascii="Times New Roman" w:hAnsi="Times New Roman" w:eastAsia="仿宋_GB2312" w:cs="Times New Roman"/>
                <w:sz w:val="20"/>
                <w:szCs w:val="20"/>
                <w:highlight w:val="none"/>
              </w:rPr>
              <w:t>预算部门本级和所属单位都要开展绩效自查，转移支付项目单位都要开展绩效自查，</w:t>
            </w:r>
            <w:r>
              <w:rPr>
                <w:rFonts w:hint="eastAsia" w:ascii="Times New Roman" w:hAnsi="Times New Roman" w:eastAsia="仿宋_GB2312" w:cs="Times New Roman"/>
                <w:sz w:val="20"/>
                <w:szCs w:val="20"/>
                <w:highlight w:val="none"/>
                <w:lang w:eastAsia="zh-CN"/>
              </w:rPr>
              <w:t>县、区</w:t>
            </w:r>
            <w:r>
              <w:rPr>
                <w:rFonts w:hint="default" w:ascii="Times New Roman" w:hAnsi="Times New Roman" w:eastAsia="仿宋_GB2312" w:cs="Times New Roman"/>
                <w:sz w:val="20"/>
                <w:szCs w:val="20"/>
                <w:highlight w:val="none"/>
              </w:rPr>
              <w:t>级主管部门都要汇总本区域转移支付情况；以上各项每发现一个单位没有做相应工作的，扣1分，最多扣10分。</w:t>
            </w:r>
          </w:p>
        </w:tc>
        <w:tc>
          <w:tcPr>
            <w:tcW w:w="3022" w:type="dxa"/>
            <w:tcBorders>
              <w:top w:val="single" w:color="auto" w:sz="4" w:space="0"/>
              <w:left w:val="nil"/>
              <w:bottom w:val="single" w:color="auto" w:sz="4" w:space="0"/>
              <w:right w:val="single" w:color="auto" w:sz="4" w:space="0"/>
            </w:tcBorders>
            <w:noWrap w:val="0"/>
            <w:vAlign w:val="center"/>
          </w:tcPr>
          <w:p w14:paraId="0C05B711">
            <w:pPr>
              <w:numPr>
                <w:ilvl w:val="0"/>
                <w:numId w:val="4"/>
              </w:numPr>
              <w:spacing w:line="300" w:lineRule="exact"/>
              <w:rPr>
                <w:rFonts w:hint="default" w:ascii="Times New Roman" w:hAnsi="Times New Roman" w:eastAsia="仿宋_GB2312" w:cs="Times New Roman"/>
                <w:sz w:val="20"/>
                <w:szCs w:val="20"/>
                <w:highlight w:val="none"/>
              </w:rPr>
            </w:pPr>
            <w:r>
              <w:rPr>
                <w:rFonts w:hint="default" w:ascii="Times New Roman" w:hAnsi="Times New Roman" w:eastAsia="仿宋_GB2312" w:cs="Times New Roman"/>
                <w:sz w:val="20"/>
                <w:szCs w:val="20"/>
                <w:highlight w:val="none"/>
              </w:rPr>
              <w:t>转移支付项目单位名称和资</w:t>
            </w:r>
            <w:r>
              <w:rPr>
                <w:rFonts w:hint="eastAsia" w:ascii="Times New Roman" w:hAnsi="Times New Roman" w:eastAsia="仿宋_GB2312" w:cs="Times New Roman"/>
                <w:sz w:val="20"/>
                <w:szCs w:val="20"/>
                <w:highlight w:val="none"/>
                <w:lang w:val="en-US" w:eastAsia="zh-CN"/>
              </w:rPr>
              <w:t xml:space="preserve"> </w:t>
            </w:r>
            <w:r>
              <w:rPr>
                <w:rFonts w:hint="default" w:ascii="Times New Roman" w:hAnsi="Times New Roman" w:eastAsia="仿宋_GB2312" w:cs="Times New Roman"/>
                <w:sz w:val="20"/>
                <w:szCs w:val="20"/>
                <w:highlight w:val="none"/>
              </w:rPr>
              <w:t>金情况清单</w:t>
            </w:r>
          </w:p>
          <w:p w14:paraId="5DCA17A9">
            <w:pPr>
              <w:numPr>
                <w:ilvl w:val="0"/>
                <w:numId w:val="4"/>
              </w:numPr>
              <w:spacing w:line="300" w:lineRule="exact"/>
              <w:rPr>
                <w:rFonts w:hint="default" w:ascii="Times New Roman" w:hAnsi="Times New Roman" w:eastAsia="仿宋_GB2312" w:cs="Times New Roman"/>
                <w:sz w:val="20"/>
                <w:szCs w:val="20"/>
                <w:highlight w:val="none"/>
              </w:rPr>
            </w:pPr>
            <w:r>
              <w:rPr>
                <w:rFonts w:hint="default" w:ascii="Times New Roman" w:hAnsi="Times New Roman" w:eastAsia="仿宋_GB2312" w:cs="Times New Roman"/>
                <w:sz w:val="20"/>
                <w:szCs w:val="20"/>
                <w:highlight w:val="none"/>
              </w:rPr>
              <w:t>有转移支付资金的各</w:t>
            </w:r>
            <w:r>
              <w:rPr>
                <w:rFonts w:hint="eastAsia" w:ascii="Times New Roman" w:hAnsi="Times New Roman" w:eastAsia="仿宋_GB2312" w:cs="Times New Roman"/>
                <w:sz w:val="20"/>
                <w:szCs w:val="20"/>
                <w:highlight w:val="none"/>
                <w:lang w:eastAsia="zh-CN"/>
              </w:rPr>
              <w:t>县区</w:t>
            </w:r>
            <w:r>
              <w:rPr>
                <w:rFonts w:hint="default" w:ascii="Times New Roman" w:hAnsi="Times New Roman" w:eastAsia="仿宋_GB2312" w:cs="Times New Roman"/>
                <w:sz w:val="20"/>
                <w:szCs w:val="20"/>
                <w:highlight w:val="none"/>
              </w:rPr>
              <w:t>主管部门汇总情况的盖章PDF版　</w:t>
            </w:r>
          </w:p>
        </w:tc>
      </w:tr>
      <w:tr w14:paraId="6787BA27">
        <w:tblPrEx>
          <w:tblCellMar>
            <w:top w:w="0" w:type="dxa"/>
            <w:left w:w="108" w:type="dxa"/>
            <w:bottom w:w="0" w:type="dxa"/>
            <w:right w:w="108" w:type="dxa"/>
          </w:tblCellMar>
        </w:tblPrEx>
        <w:trPr>
          <w:jc w:val="center"/>
        </w:trPr>
        <w:tc>
          <w:tcPr>
            <w:tcW w:w="745" w:type="dxa"/>
            <w:vMerge w:val="continue"/>
            <w:tcBorders>
              <w:left w:val="single" w:color="auto" w:sz="4" w:space="0"/>
              <w:bottom w:val="single" w:color="auto" w:sz="4" w:space="0"/>
              <w:right w:val="single" w:color="auto" w:sz="4" w:space="0"/>
            </w:tcBorders>
            <w:noWrap w:val="0"/>
            <w:vAlign w:val="center"/>
          </w:tcPr>
          <w:p w14:paraId="56D14E3A">
            <w:pPr>
              <w:spacing w:line="300" w:lineRule="exact"/>
              <w:rPr>
                <w:rFonts w:hint="default" w:ascii="Times New Roman" w:hAnsi="Times New Roman" w:eastAsia="仿宋_GB2312" w:cs="Times New Roman"/>
                <w:sz w:val="20"/>
                <w:szCs w:val="20"/>
                <w:highlight w:val="none"/>
              </w:rPr>
            </w:pPr>
          </w:p>
        </w:tc>
        <w:tc>
          <w:tcPr>
            <w:tcW w:w="1174" w:type="dxa"/>
            <w:tcBorders>
              <w:top w:val="nil"/>
              <w:left w:val="nil"/>
              <w:bottom w:val="single" w:color="auto" w:sz="4" w:space="0"/>
              <w:right w:val="single" w:color="auto" w:sz="4" w:space="0"/>
            </w:tcBorders>
            <w:noWrap w:val="0"/>
            <w:vAlign w:val="center"/>
          </w:tcPr>
          <w:p w14:paraId="70E4FBAA">
            <w:pPr>
              <w:spacing w:line="300" w:lineRule="exact"/>
              <w:jc w:val="center"/>
              <w:rPr>
                <w:rFonts w:hint="default" w:ascii="Times New Roman" w:hAnsi="Times New Roman" w:eastAsia="仿宋_GB2312" w:cs="Times New Roman"/>
                <w:sz w:val="20"/>
                <w:szCs w:val="20"/>
                <w:highlight w:val="none"/>
              </w:rPr>
            </w:pPr>
            <w:r>
              <w:rPr>
                <w:rFonts w:hint="default" w:ascii="Times New Roman" w:hAnsi="Times New Roman" w:eastAsia="仿宋_GB2312" w:cs="Times New Roman"/>
                <w:sz w:val="20"/>
                <w:szCs w:val="20"/>
                <w:highlight w:val="none"/>
              </w:rPr>
              <w:t>提交报告</w:t>
            </w:r>
          </w:p>
          <w:p w14:paraId="51B5C5B9">
            <w:pPr>
              <w:spacing w:line="300" w:lineRule="exact"/>
              <w:jc w:val="center"/>
              <w:rPr>
                <w:rFonts w:hint="default" w:ascii="Times New Roman" w:hAnsi="Times New Roman" w:eastAsia="仿宋_GB2312" w:cs="Times New Roman"/>
                <w:sz w:val="20"/>
                <w:szCs w:val="20"/>
                <w:highlight w:val="none"/>
              </w:rPr>
            </w:pPr>
            <w:r>
              <w:rPr>
                <w:rFonts w:hint="default" w:ascii="Times New Roman" w:hAnsi="Times New Roman" w:eastAsia="仿宋_GB2312" w:cs="Times New Roman"/>
                <w:sz w:val="20"/>
                <w:szCs w:val="20"/>
                <w:highlight w:val="none"/>
              </w:rPr>
              <w:t>（10分）</w:t>
            </w:r>
          </w:p>
        </w:tc>
        <w:tc>
          <w:tcPr>
            <w:tcW w:w="8022" w:type="dxa"/>
            <w:gridSpan w:val="2"/>
            <w:tcBorders>
              <w:top w:val="nil"/>
              <w:left w:val="nil"/>
              <w:bottom w:val="single" w:color="auto" w:sz="4" w:space="0"/>
              <w:right w:val="single" w:color="auto" w:sz="4" w:space="0"/>
            </w:tcBorders>
            <w:noWrap w:val="0"/>
            <w:vAlign w:val="center"/>
          </w:tcPr>
          <w:p w14:paraId="679583EA">
            <w:pPr>
              <w:spacing w:line="300" w:lineRule="exact"/>
              <w:jc w:val="center"/>
              <w:rPr>
                <w:rFonts w:hint="default" w:ascii="Times New Roman" w:hAnsi="Times New Roman" w:eastAsia="仿宋_GB2312" w:cs="Times New Roman"/>
                <w:sz w:val="20"/>
                <w:szCs w:val="20"/>
                <w:highlight w:val="none"/>
              </w:rPr>
            </w:pPr>
            <w:r>
              <w:rPr>
                <w:rFonts w:hint="default" w:ascii="Times New Roman" w:hAnsi="Times New Roman" w:eastAsia="仿宋_GB2312" w:cs="Times New Roman"/>
                <w:sz w:val="20"/>
                <w:szCs w:val="20"/>
                <w:highlight w:val="none"/>
              </w:rPr>
              <w:t>按时向</w:t>
            </w:r>
            <w:r>
              <w:rPr>
                <w:rFonts w:hint="eastAsia" w:ascii="Times New Roman" w:hAnsi="Times New Roman" w:eastAsia="仿宋_GB2312" w:cs="Times New Roman"/>
                <w:sz w:val="20"/>
                <w:szCs w:val="20"/>
                <w:highlight w:val="none"/>
                <w:lang w:eastAsia="zh-CN"/>
              </w:rPr>
              <w:t>市财政局</w:t>
            </w:r>
            <w:r>
              <w:rPr>
                <w:rFonts w:hint="default" w:ascii="Times New Roman" w:hAnsi="Times New Roman" w:eastAsia="仿宋_GB2312" w:cs="Times New Roman"/>
                <w:sz w:val="20"/>
                <w:szCs w:val="20"/>
                <w:highlight w:val="none"/>
              </w:rPr>
              <w:t>报送报告的得10分；每推迟一个工作日报送报告的扣1分，最多扣10分。</w:t>
            </w:r>
          </w:p>
        </w:tc>
      </w:tr>
      <w:tr w14:paraId="4F24EA3D">
        <w:tblPrEx>
          <w:tblCellMar>
            <w:top w:w="0" w:type="dxa"/>
            <w:left w:w="108" w:type="dxa"/>
            <w:bottom w:w="0" w:type="dxa"/>
            <w:right w:w="108" w:type="dxa"/>
          </w:tblCellMar>
        </w:tblPrEx>
        <w:trPr>
          <w:trHeight w:val="740" w:hRule="atLeast"/>
          <w:jc w:val="center"/>
        </w:trPr>
        <w:tc>
          <w:tcPr>
            <w:tcW w:w="745" w:type="dxa"/>
            <w:vMerge w:val="restart"/>
            <w:tcBorders>
              <w:top w:val="single" w:color="auto" w:sz="4" w:space="0"/>
              <w:left w:val="single" w:color="auto" w:sz="4" w:space="0"/>
              <w:bottom w:val="single" w:color="auto" w:sz="4" w:space="0"/>
              <w:right w:val="single" w:color="auto" w:sz="4" w:space="0"/>
            </w:tcBorders>
            <w:noWrap w:val="0"/>
            <w:vAlign w:val="center"/>
          </w:tcPr>
          <w:p w14:paraId="2A5AA3FF">
            <w:pPr>
              <w:spacing w:line="300" w:lineRule="exact"/>
              <w:jc w:val="center"/>
              <w:rPr>
                <w:rFonts w:hint="default" w:ascii="Times New Roman" w:hAnsi="Times New Roman" w:eastAsia="仿宋_GB2312" w:cs="Times New Roman"/>
                <w:sz w:val="20"/>
                <w:szCs w:val="20"/>
                <w:highlight w:val="none"/>
              </w:rPr>
            </w:pPr>
            <w:r>
              <w:rPr>
                <w:rFonts w:hint="default" w:ascii="Times New Roman" w:hAnsi="Times New Roman" w:eastAsia="仿宋_GB2312" w:cs="Times New Roman"/>
                <w:sz w:val="20"/>
                <w:szCs w:val="20"/>
                <w:highlight w:val="none"/>
              </w:rPr>
              <w:t>自评报告</w:t>
            </w:r>
          </w:p>
          <w:p w14:paraId="5367A43E">
            <w:pPr>
              <w:spacing w:line="300" w:lineRule="exact"/>
              <w:jc w:val="center"/>
              <w:rPr>
                <w:rFonts w:hint="default" w:ascii="Times New Roman" w:hAnsi="Times New Roman" w:eastAsia="仿宋_GB2312" w:cs="Times New Roman"/>
                <w:sz w:val="20"/>
                <w:szCs w:val="20"/>
                <w:highlight w:val="none"/>
              </w:rPr>
            </w:pPr>
          </w:p>
          <w:p w14:paraId="17DF806C">
            <w:pPr>
              <w:spacing w:line="300" w:lineRule="exact"/>
              <w:jc w:val="center"/>
              <w:rPr>
                <w:rFonts w:hint="default" w:ascii="Times New Roman" w:hAnsi="Times New Roman" w:eastAsia="仿宋_GB2312" w:cs="Times New Roman"/>
                <w:sz w:val="20"/>
                <w:szCs w:val="20"/>
                <w:highlight w:val="none"/>
              </w:rPr>
            </w:pPr>
            <w:r>
              <w:rPr>
                <w:rFonts w:hint="default" w:ascii="Times New Roman" w:hAnsi="Times New Roman" w:eastAsia="仿宋_GB2312" w:cs="Times New Roman"/>
                <w:sz w:val="20"/>
                <w:szCs w:val="20"/>
                <w:highlight w:val="none"/>
              </w:rPr>
              <w:t>70分</w:t>
            </w:r>
          </w:p>
        </w:tc>
        <w:tc>
          <w:tcPr>
            <w:tcW w:w="1174" w:type="dxa"/>
            <w:tcBorders>
              <w:top w:val="single" w:color="auto" w:sz="4" w:space="0"/>
              <w:left w:val="nil"/>
              <w:bottom w:val="single" w:color="auto" w:sz="4" w:space="0"/>
              <w:right w:val="single" w:color="auto" w:sz="4" w:space="0"/>
            </w:tcBorders>
            <w:noWrap w:val="0"/>
            <w:vAlign w:val="center"/>
          </w:tcPr>
          <w:p w14:paraId="69536301">
            <w:pPr>
              <w:spacing w:line="300" w:lineRule="exact"/>
              <w:jc w:val="center"/>
              <w:rPr>
                <w:rFonts w:hint="default" w:ascii="Times New Roman" w:hAnsi="Times New Roman" w:eastAsia="仿宋_GB2312" w:cs="Times New Roman"/>
                <w:sz w:val="20"/>
                <w:szCs w:val="20"/>
                <w:highlight w:val="none"/>
              </w:rPr>
            </w:pPr>
            <w:r>
              <w:rPr>
                <w:rFonts w:hint="default" w:ascii="Times New Roman" w:hAnsi="Times New Roman" w:eastAsia="仿宋_GB2312" w:cs="Times New Roman"/>
                <w:sz w:val="20"/>
                <w:szCs w:val="20"/>
                <w:highlight w:val="none"/>
              </w:rPr>
              <w:t>完整性</w:t>
            </w:r>
          </w:p>
          <w:p w14:paraId="7C9873DF">
            <w:pPr>
              <w:spacing w:line="300" w:lineRule="exact"/>
              <w:jc w:val="center"/>
              <w:rPr>
                <w:rFonts w:hint="default" w:ascii="Times New Roman" w:hAnsi="Times New Roman" w:eastAsia="仿宋_GB2312" w:cs="Times New Roman"/>
                <w:sz w:val="20"/>
                <w:szCs w:val="20"/>
                <w:highlight w:val="none"/>
              </w:rPr>
            </w:pPr>
            <w:r>
              <w:rPr>
                <w:rFonts w:hint="default" w:ascii="Times New Roman" w:hAnsi="Times New Roman" w:eastAsia="仿宋_GB2312" w:cs="Times New Roman"/>
                <w:sz w:val="20"/>
                <w:szCs w:val="20"/>
                <w:highlight w:val="none"/>
              </w:rPr>
              <w:t>（15分）</w:t>
            </w:r>
          </w:p>
        </w:tc>
        <w:tc>
          <w:tcPr>
            <w:tcW w:w="8022" w:type="dxa"/>
            <w:gridSpan w:val="2"/>
            <w:tcBorders>
              <w:top w:val="single" w:color="auto" w:sz="4" w:space="0"/>
              <w:left w:val="nil"/>
              <w:bottom w:val="single" w:color="auto" w:sz="4" w:space="0"/>
              <w:right w:val="single" w:color="auto" w:sz="4" w:space="0"/>
            </w:tcBorders>
            <w:noWrap w:val="0"/>
            <w:vAlign w:val="center"/>
          </w:tcPr>
          <w:p w14:paraId="74F31AC3">
            <w:pPr>
              <w:spacing w:line="240" w:lineRule="auto"/>
              <w:rPr>
                <w:rFonts w:hint="default" w:ascii="Times New Roman" w:hAnsi="Times New Roman" w:eastAsia="仿宋_GB2312" w:cs="Times New Roman"/>
                <w:sz w:val="20"/>
                <w:szCs w:val="20"/>
                <w:highlight w:val="none"/>
              </w:rPr>
            </w:pPr>
            <w:r>
              <w:rPr>
                <w:rFonts w:hint="default" w:ascii="Times New Roman" w:hAnsi="Times New Roman" w:eastAsia="仿宋_GB2312" w:cs="Times New Roman"/>
                <w:sz w:val="20"/>
                <w:szCs w:val="20"/>
                <w:highlight w:val="none"/>
              </w:rPr>
              <w:t>1</w:t>
            </w:r>
            <w:r>
              <w:rPr>
                <w:rFonts w:hint="eastAsia" w:ascii="Times New Roman" w:hAnsi="Times New Roman" w:eastAsia="仿宋_GB2312" w:cs="Times New Roman"/>
                <w:sz w:val="20"/>
                <w:szCs w:val="20"/>
                <w:highlight w:val="none"/>
                <w:lang w:val="en-US" w:eastAsia="zh-CN"/>
              </w:rPr>
              <w:t>.</w:t>
            </w:r>
            <w:r>
              <w:rPr>
                <w:rFonts w:hint="default" w:ascii="Times New Roman" w:hAnsi="Times New Roman" w:eastAsia="仿宋_GB2312" w:cs="Times New Roman"/>
                <w:sz w:val="20"/>
                <w:szCs w:val="20"/>
                <w:highlight w:val="none"/>
              </w:rPr>
              <w:t>绩效自评报告正文部分内容齐全的，得8分；否则每少一个部分扣2分，最多扣8分。</w:t>
            </w:r>
          </w:p>
          <w:p w14:paraId="31A1550B">
            <w:pPr>
              <w:spacing w:line="240" w:lineRule="auto"/>
              <w:jc w:val="left"/>
              <w:rPr>
                <w:rFonts w:hint="default" w:ascii="Times New Roman" w:hAnsi="Times New Roman" w:eastAsia="仿宋_GB2312" w:cs="Times New Roman"/>
                <w:sz w:val="20"/>
                <w:szCs w:val="20"/>
                <w:highlight w:val="none"/>
              </w:rPr>
            </w:pPr>
            <w:r>
              <w:rPr>
                <w:rFonts w:hint="default" w:ascii="Times New Roman" w:hAnsi="Times New Roman" w:eastAsia="仿宋_GB2312" w:cs="Times New Roman"/>
                <w:sz w:val="20"/>
                <w:szCs w:val="20"/>
                <w:highlight w:val="none"/>
              </w:rPr>
              <w:t>2</w:t>
            </w:r>
            <w:r>
              <w:rPr>
                <w:rFonts w:hint="eastAsia" w:ascii="Times New Roman" w:hAnsi="Times New Roman" w:eastAsia="仿宋_GB2312" w:cs="Times New Roman"/>
                <w:sz w:val="20"/>
                <w:szCs w:val="20"/>
                <w:highlight w:val="none"/>
                <w:lang w:val="en-US" w:eastAsia="zh-CN"/>
              </w:rPr>
              <w:t>.</w:t>
            </w:r>
            <w:r>
              <w:rPr>
                <w:rFonts w:hint="default" w:ascii="Times New Roman" w:hAnsi="Times New Roman" w:eastAsia="仿宋_GB2312" w:cs="Times New Roman"/>
                <w:sz w:val="20"/>
                <w:szCs w:val="20"/>
                <w:highlight w:val="none"/>
              </w:rPr>
              <w:t>绩效自评报告附件部分内容齐全的，得7分；否则每少一个部分扣2分，最多扣7分。</w:t>
            </w:r>
          </w:p>
        </w:tc>
      </w:tr>
      <w:tr w14:paraId="7EB2CE08">
        <w:tblPrEx>
          <w:tblCellMar>
            <w:top w:w="0" w:type="dxa"/>
            <w:left w:w="108" w:type="dxa"/>
            <w:bottom w:w="0" w:type="dxa"/>
            <w:right w:w="108" w:type="dxa"/>
          </w:tblCellMar>
        </w:tblPrEx>
        <w:trPr>
          <w:trHeight w:val="2592" w:hRule="atLeast"/>
          <w:jc w:val="center"/>
        </w:trPr>
        <w:tc>
          <w:tcPr>
            <w:tcW w:w="745" w:type="dxa"/>
            <w:vMerge w:val="continue"/>
            <w:tcBorders>
              <w:top w:val="single" w:color="auto" w:sz="4" w:space="0"/>
              <w:left w:val="single" w:color="auto" w:sz="4" w:space="0"/>
              <w:bottom w:val="single" w:color="auto" w:sz="4" w:space="0"/>
              <w:right w:val="single" w:color="auto" w:sz="4" w:space="0"/>
            </w:tcBorders>
            <w:noWrap w:val="0"/>
            <w:vAlign w:val="center"/>
          </w:tcPr>
          <w:p w14:paraId="4026AB74">
            <w:pPr>
              <w:spacing w:line="300" w:lineRule="exact"/>
              <w:rPr>
                <w:rFonts w:hint="default" w:ascii="Times New Roman" w:hAnsi="Times New Roman" w:eastAsia="仿宋_GB2312" w:cs="Times New Roman"/>
                <w:sz w:val="20"/>
                <w:szCs w:val="20"/>
                <w:highlight w:val="none"/>
              </w:rPr>
            </w:pPr>
          </w:p>
        </w:tc>
        <w:tc>
          <w:tcPr>
            <w:tcW w:w="1174" w:type="dxa"/>
            <w:tcBorders>
              <w:top w:val="single" w:color="auto" w:sz="4" w:space="0"/>
              <w:left w:val="nil"/>
              <w:right w:val="single" w:color="auto" w:sz="4" w:space="0"/>
            </w:tcBorders>
            <w:noWrap w:val="0"/>
            <w:vAlign w:val="center"/>
          </w:tcPr>
          <w:p w14:paraId="0177798C">
            <w:pPr>
              <w:spacing w:line="300" w:lineRule="exact"/>
              <w:jc w:val="center"/>
              <w:rPr>
                <w:rFonts w:hint="default" w:ascii="Times New Roman" w:hAnsi="Times New Roman" w:eastAsia="仿宋_GB2312" w:cs="Times New Roman"/>
                <w:sz w:val="20"/>
                <w:szCs w:val="20"/>
                <w:highlight w:val="none"/>
              </w:rPr>
            </w:pPr>
            <w:r>
              <w:rPr>
                <w:rFonts w:hint="default" w:ascii="Times New Roman" w:hAnsi="Times New Roman" w:eastAsia="仿宋_GB2312" w:cs="Times New Roman"/>
                <w:sz w:val="20"/>
                <w:szCs w:val="20"/>
                <w:highlight w:val="none"/>
              </w:rPr>
              <w:t>绩效</w:t>
            </w:r>
          </w:p>
          <w:p w14:paraId="0F9A6C6A">
            <w:pPr>
              <w:spacing w:line="300" w:lineRule="exact"/>
              <w:jc w:val="center"/>
              <w:rPr>
                <w:rFonts w:hint="default" w:ascii="Times New Roman" w:hAnsi="Times New Roman" w:eastAsia="仿宋_GB2312" w:cs="Times New Roman"/>
                <w:sz w:val="20"/>
                <w:szCs w:val="20"/>
                <w:highlight w:val="none"/>
              </w:rPr>
            </w:pPr>
            <w:r>
              <w:rPr>
                <w:rFonts w:hint="default" w:ascii="Times New Roman" w:hAnsi="Times New Roman" w:eastAsia="仿宋_GB2312" w:cs="Times New Roman"/>
                <w:sz w:val="20"/>
                <w:szCs w:val="20"/>
                <w:highlight w:val="none"/>
              </w:rPr>
              <w:t>自评表</w:t>
            </w:r>
          </w:p>
          <w:p w14:paraId="2D8E599C">
            <w:pPr>
              <w:spacing w:line="300" w:lineRule="exact"/>
              <w:jc w:val="center"/>
              <w:rPr>
                <w:rFonts w:hint="default" w:ascii="Times New Roman" w:hAnsi="Times New Roman" w:eastAsia="仿宋_GB2312" w:cs="Times New Roman"/>
                <w:sz w:val="20"/>
                <w:szCs w:val="20"/>
                <w:highlight w:val="none"/>
              </w:rPr>
            </w:pPr>
            <w:r>
              <w:rPr>
                <w:rFonts w:hint="default" w:ascii="Times New Roman" w:hAnsi="Times New Roman" w:eastAsia="仿宋_GB2312" w:cs="Times New Roman"/>
                <w:sz w:val="20"/>
                <w:szCs w:val="20"/>
                <w:highlight w:val="none"/>
              </w:rPr>
              <w:t>（20分）</w:t>
            </w:r>
          </w:p>
        </w:tc>
        <w:tc>
          <w:tcPr>
            <w:tcW w:w="8022" w:type="dxa"/>
            <w:gridSpan w:val="2"/>
            <w:tcBorders>
              <w:top w:val="single" w:color="auto" w:sz="4" w:space="0"/>
              <w:left w:val="nil"/>
              <w:bottom w:val="single" w:color="auto" w:sz="4" w:space="0"/>
              <w:right w:val="single" w:color="auto" w:sz="4" w:space="0"/>
            </w:tcBorders>
            <w:noWrap w:val="0"/>
            <w:vAlign w:val="center"/>
          </w:tcPr>
          <w:p w14:paraId="707D1DCD">
            <w:pPr>
              <w:spacing w:line="240" w:lineRule="auto"/>
              <w:rPr>
                <w:rFonts w:hint="default" w:ascii="Times New Roman" w:hAnsi="Times New Roman" w:eastAsia="仿宋_GB2312" w:cs="Times New Roman"/>
                <w:sz w:val="20"/>
                <w:szCs w:val="20"/>
                <w:highlight w:val="none"/>
              </w:rPr>
            </w:pPr>
            <w:r>
              <w:rPr>
                <w:rFonts w:hint="default" w:ascii="Times New Roman" w:hAnsi="Times New Roman" w:eastAsia="仿宋_GB2312" w:cs="Times New Roman"/>
                <w:sz w:val="20"/>
                <w:szCs w:val="20"/>
                <w:highlight w:val="none"/>
              </w:rPr>
              <w:t>1、部门整体支出和项目支出绩效指标反映产出、效益、服务对象满意度方面的指标和预算执行率的权重符合《</w:t>
            </w:r>
            <w:r>
              <w:rPr>
                <w:rFonts w:hint="eastAsia" w:ascii="Times New Roman" w:hAnsi="Times New Roman" w:eastAsia="仿宋_GB2312" w:cs="Times New Roman"/>
                <w:sz w:val="20"/>
                <w:szCs w:val="20"/>
                <w:highlight w:val="none"/>
                <w:lang w:eastAsia="zh-CN"/>
              </w:rPr>
              <w:t>岳阳市市级</w:t>
            </w:r>
            <w:r>
              <w:rPr>
                <w:rFonts w:hint="default" w:ascii="Times New Roman" w:hAnsi="Times New Roman" w:eastAsia="仿宋_GB2312" w:cs="Times New Roman"/>
                <w:sz w:val="20"/>
                <w:szCs w:val="20"/>
                <w:highlight w:val="none"/>
              </w:rPr>
              <w:t>预算部门绩效自评操作规程》要求的，得5分，否则按比例扣除相应的分数。</w:t>
            </w:r>
          </w:p>
          <w:p w14:paraId="751205D4">
            <w:pPr>
              <w:spacing w:line="240" w:lineRule="auto"/>
              <w:rPr>
                <w:rFonts w:hint="default" w:ascii="Times New Roman" w:hAnsi="Times New Roman" w:eastAsia="仿宋_GB2312" w:cs="Times New Roman"/>
                <w:sz w:val="20"/>
                <w:szCs w:val="20"/>
                <w:highlight w:val="none"/>
              </w:rPr>
            </w:pPr>
            <w:r>
              <w:rPr>
                <w:rFonts w:hint="default" w:ascii="Times New Roman" w:hAnsi="Times New Roman" w:eastAsia="仿宋_GB2312" w:cs="Times New Roman"/>
                <w:sz w:val="20"/>
                <w:szCs w:val="20"/>
                <w:highlight w:val="none"/>
              </w:rPr>
              <w:t>2</w:t>
            </w:r>
            <w:r>
              <w:rPr>
                <w:rFonts w:hint="eastAsia" w:ascii="Times New Roman" w:hAnsi="Times New Roman" w:eastAsia="仿宋_GB2312" w:cs="Times New Roman"/>
                <w:sz w:val="20"/>
                <w:szCs w:val="20"/>
                <w:highlight w:val="none"/>
                <w:lang w:val="en-US" w:eastAsia="zh-CN"/>
              </w:rPr>
              <w:t>.</w:t>
            </w:r>
            <w:r>
              <w:rPr>
                <w:rFonts w:hint="default" w:ascii="Times New Roman" w:hAnsi="Times New Roman" w:eastAsia="仿宋_GB2312" w:cs="Times New Roman"/>
                <w:sz w:val="20"/>
                <w:szCs w:val="20"/>
                <w:highlight w:val="none"/>
              </w:rPr>
              <w:t>部门整体支出和项目支出绩效指标全部细化到三级指标的，得5分；部分细化的，酌情扣分；没有细化的，不得分。</w:t>
            </w:r>
          </w:p>
          <w:p w14:paraId="3940A236">
            <w:pPr>
              <w:spacing w:line="240" w:lineRule="auto"/>
              <w:jc w:val="left"/>
              <w:rPr>
                <w:rFonts w:hint="default" w:ascii="Times New Roman" w:hAnsi="Times New Roman" w:eastAsia="仿宋_GB2312" w:cs="Times New Roman"/>
                <w:sz w:val="20"/>
                <w:szCs w:val="20"/>
                <w:highlight w:val="none"/>
              </w:rPr>
            </w:pPr>
            <w:r>
              <w:rPr>
                <w:rFonts w:hint="default" w:ascii="Times New Roman" w:hAnsi="Times New Roman" w:eastAsia="仿宋_GB2312" w:cs="Times New Roman"/>
                <w:sz w:val="20"/>
                <w:szCs w:val="20"/>
                <w:highlight w:val="none"/>
              </w:rPr>
              <w:t>3</w:t>
            </w:r>
            <w:r>
              <w:rPr>
                <w:rFonts w:hint="eastAsia" w:ascii="Times New Roman" w:hAnsi="Times New Roman" w:eastAsia="仿宋_GB2312" w:cs="Times New Roman"/>
                <w:sz w:val="20"/>
                <w:szCs w:val="20"/>
                <w:highlight w:val="none"/>
                <w:lang w:val="en-US" w:eastAsia="zh-CN"/>
              </w:rPr>
              <w:t>.</w:t>
            </w:r>
            <w:r>
              <w:rPr>
                <w:rFonts w:hint="default" w:ascii="Times New Roman" w:hAnsi="Times New Roman" w:eastAsia="仿宋_GB2312" w:cs="Times New Roman"/>
                <w:sz w:val="20"/>
                <w:szCs w:val="20"/>
                <w:highlight w:val="none"/>
              </w:rPr>
              <w:t>部门整体支出和项目支出三级绩效指标内涵明确、具体、可衡量的得5分；突出核心指标，精简实用的得3分；指标与部门整体支出和项目支出密切相关，全面反映产出和效益的得2分；否则，每项酌情扣分，最多扣10分。</w:t>
            </w:r>
          </w:p>
        </w:tc>
      </w:tr>
      <w:tr w14:paraId="19D331EF">
        <w:tblPrEx>
          <w:tblCellMar>
            <w:top w:w="0" w:type="dxa"/>
            <w:left w:w="108" w:type="dxa"/>
            <w:bottom w:w="0" w:type="dxa"/>
            <w:right w:w="108" w:type="dxa"/>
          </w:tblCellMar>
        </w:tblPrEx>
        <w:trPr>
          <w:trHeight w:val="1521" w:hRule="atLeast"/>
          <w:jc w:val="center"/>
        </w:trPr>
        <w:tc>
          <w:tcPr>
            <w:tcW w:w="745" w:type="dxa"/>
            <w:vMerge w:val="continue"/>
            <w:tcBorders>
              <w:top w:val="single" w:color="auto" w:sz="4" w:space="0"/>
              <w:left w:val="single" w:color="auto" w:sz="4" w:space="0"/>
              <w:bottom w:val="single" w:color="auto" w:sz="4" w:space="0"/>
              <w:right w:val="single" w:color="auto" w:sz="4" w:space="0"/>
            </w:tcBorders>
            <w:noWrap w:val="0"/>
            <w:vAlign w:val="center"/>
          </w:tcPr>
          <w:p w14:paraId="64419648">
            <w:pPr>
              <w:spacing w:line="300" w:lineRule="exact"/>
              <w:jc w:val="center"/>
              <w:rPr>
                <w:rFonts w:hint="default" w:ascii="Times New Roman" w:hAnsi="Times New Roman" w:eastAsia="仿宋_GB2312" w:cs="Times New Roman"/>
                <w:sz w:val="20"/>
                <w:szCs w:val="20"/>
                <w:highlight w:val="none"/>
              </w:rPr>
            </w:pPr>
          </w:p>
        </w:tc>
        <w:tc>
          <w:tcPr>
            <w:tcW w:w="1174" w:type="dxa"/>
            <w:tcBorders>
              <w:top w:val="single" w:color="auto" w:sz="4" w:space="0"/>
              <w:left w:val="nil"/>
              <w:bottom w:val="single" w:color="auto" w:sz="4" w:space="0"/>
              <w:right w:val="single" w:color="auto" w:sz="4" w:space="0"/>
            </w:tcBorders>
            <w:noWrap w:val="0"/>
            <w:vAlign w:val="center"/>
          </w:tcPr>
          <w:p w14:paraId="50A1100A">
            <w:pPr>
              <w:jc w:val="center"/>
              <w:rPr>
                <w:rFonts w:hint="default" w:ascii="Times New Roman" w:hAnsi="Times New Roman" w:cs="Times New Roman"/>
                <w:highlight w:val="none"/>
              </w:rPr>
            </w:pPr>
          </w:p>
          <w:p w14:paraId="190A40CE">
            <w:pPr>
              <w:spacing w:line="240" w:lineRule="auto"/>
              <w:jc w:val="center"/>
              <w:rPr>
                <w:rFonts w:hint="default" w:ascii="Times New Roman" w:hAnsi="Times New Roman" w:eastAsia="仿宋_GB2312" w:cs="Times New Roman"/>
                <w:sz w:val="20"/>
                <w:szCs w:val="20"/>
                <w:highlight w:val="none"/>
              </w:rPr>
            </w:pPr>
            <w:r>
              <w:rPr>
                <w:rFonts w:hint="default" w:ascii="Times New Roman" w:hAnsi="Times New Roman" w:eastAsia="仿宋_GB2312" w:cs="Times New Roman"/>
                <w:sz w:val="20"/>
                <w:szCs w:val="20"/>
                <w:highlight w:val="none"/>
              </w:rPr>
              <w:t>反映问</w:t>
            </w:r>
          </w:p>
          <w:p w14:paraId="12238C92">
            <w:pPr>
              <w:spacing w:line="240" w:lineRule="auto"/>
              <w:jc w:val="center"/>
              <w:rPr>
                <w:rFonts w:hint="default" w:ascii="Times New Roman" w:hAnsi="Times New Roman" w:eastAsia="仿宋_GB2312" w:cs="Times New Roman"/>
                <w:sz w:val="20"/>
                <w:szCs w:val="20"/>
                <w:highlight w:val="none"/>
              </w:rPr>
            </w:pPr>
            <w:r>
              <w:rPr>
                <w:rFonts w:hint="default" w:ascii="Times New Roman" w:hAnsi="Times New Roman" w:eastAsia="仿宋_GB2312" w:cs="Times New Roman"/>
                <w:sz w:val="20"/>
                <w:szCs w:val="20"/>
                <w:highlight w:val="none"/>
              </w:rPr>
              <w:t>题情况</w:t>
            </w:r>
          </w:p>
          <w:p w14:paraId="05E9348A">
            <w:pPr>
              <w:spacing w:line="300" w:lineRule="exact"/>
              <w:jc w:val="center"/>
              <w:rPr>
                <w:rFonts w:hint="default" w:ascii="Times New Roman" w:hAnsi="Times New Roman" w:eastAsia="仿宋_GB2312" w:cs="Times New Roman"/>
                <w:sz w:val="20"/>
                <w:szCs w:val="20"/>
                <w:highlight w:val="none"/>
              </w:rPr>
            </w:pPr>
            <w:r>
              <w:rPr>
                <w:rFonts w:hint="default" w:ascii="Times New Roman" w:hAnsi="Times New Roman" w:eastAsia="仿宋_GB2312" w:cs="Times New Roman"/>
                <w:sz w:val="20"/>
                <w:szCs w:val="20"/>
                <w:highlight w:val="none"/>
              </w:rPr>
              <w:t>（20分）</w:t>
            </w:r>
          </w:p>
        </w:tc>
        <w:tc>
          <w:tcPr>
            <w:tcW w:w="8022" w:type="dxa"/>
            <w:gridSpan w:val="2"/>
            <w:tcBorders>
              <w:top w:val="single" w:color="auto" w:sz="4" w:space="0"/>
              <w:left w:val="nil"/>
              <w:bottom w:val="single" w:color="auto" w:sz="4" w:space="0"/>
              <w:right w:val="single" w:color="auto" w:sz="4" w:space="0"/>
            </w:tcBorders>
            <w:noWrap w:val="0"/>
            <w:vAlign w:val="center"/>
          </w:tcPr>
          <w:p w14:paraId="22E342FE">
            <w:pPr>
              <w:spacing w:line="240" w:lineRule="auto"/>
              <w:jc w:val="left"/>
              <w:rPr>
                <w:rFonts w:hint="default" w:ascii="Times New Roman" w:hAnsi="Times New Roman" w:eastAsia="仿宋_GB2312" w:cs="Times New Roman"/>
                <w:sz w:val="20"/>
                <w:szCs w:val="20"/>
                <w:highlight w:val="none"/>
              </w:rPr>
            </w:pPr>
            <w:r>
              <w:rPr>
                <w:rFonts w:hint="default" w:ascii="Times New Roman" w:hAnsi="Times New Roman" w:eastAsia="仿宋_GB2312" w:cs="Times New Roman"/>
                <w:sz w:val="20"/>
                <w:szCs w:val="20"/>
                <w:highlight w:val="none"/>
              </w:rPr>
              <w:t>从预算和预算绩效管理，部门履职效能，资金分配、使用和管理，资产和财务管理，政府采购等方面归纳问题、分析原因全面的，得20分；反映问题、分析原因较全面的，得16—18分；反映问题、分析原因不全面的，得13—15分；问题未归纳且过于简单的，得10—12分；只提出资金不足问题的不得分；其他情况酌情扣分。　</w:t>
            </w:r>
          </w:p>
        </w:tc>
      </w:tr>
      <w:tr w14:paraId="76288FC3">
        <w:tblPrEx>
          <w:tblCellMar>
            <w:top w:w="0" w:type="dxa"/>
            <w:left w:w="108" w:type="dxa"/>
            <w:bottom w:w="0" w:type="dxa"/>
            <w:right w:w="108" w:type="dxa"/>
          </w:tblCellMar>
        </w:tblPrEx>
        <w:trPr>
          <w:trHeight w:val="781" w:hRule="atLeast"/>
          <w:jc w:val="center"/>
        </w:trPr>
        <w:tc>
          <w:tcPr>
            <w:tcW w:w="745" w:type="dxa"/>
            <w:vMerge w:val="continue"/>
            <w:tcBorders>
              <w:top w:val="single" w:color="auto" w:sz="4" w:space="0"/>
              <w:left w:val="single" w:color="auto" w:sz="4" w:space="0"/>
              <w:bottom w:val="single" w:color="auto" w:sz="4" w:space="0"/>
              <w:right w:val="single" w:color="auto" w:sz="4" w:space="0"/>
            </w:tcBorders>
            <w:noWrap w:val="0"/>
            <w:vAlign w:val="center"/>
          </w:tcPr>
          <w:p w14:paraId="7CF25357">
            <w:pPr>
              <w:spacing w:line="300" w:lineRule="exact"/>
              <w:rPr>
                <w:rFonts w:hint="default" w:ascii="Times New Roman" w:hAnsi="Times New Roman" w:eastAsia="仿宋_GB2312" w:cs="Times New Roman"/>
                <w:sz w:val="20"/>
                <w:szCs w:val="20"/>
                <w:highlight w:val="none"/>
              </w:rPr>
            </w:pPr>
          </w:p>
        </w:tc>
        <w:tc>
          <w:tcPr>
            <w:tcW w:w="1174" w:type="dxa"/>
            <w:tcBorders>
              <w:top w:val="single" w:color="auto" w:sz="4" w:space="0"/>
              <w:left w:val="nil"/>
              <w:bottom w:val="single" w:color="auto" w:sz="4" w:space="0"/>
              <w:right w:val="single" w:color="auto" w:sz="4" w:space="0"/>
            </w:tcBorders>
            <w:noWrap w:val="0"/>
            <w:vAlign w:val="center"/>
          </w:tcPr>
          <w:p w14:paraId="75AE190F">
            <w:pPr>
              <w:spacing w:line="300" w:lineRule="exact"/>
              <w:jc w:val="center"/>
              <w:rPr>
                <w:rFonts w:hint="default" w:ascii="Times New Roman" w:hAnsi="Times New Roman" w:eastAsia="仿宋_GB2312" w:cs="Times New Roman"/>
                <w:sz w:val="20"/>
                <w:szCs w:val="20"/>
                <w:highlight w:val="none"/>
              </w:rPr>
            </w:pPr>
            <w:r>
              <w:rPr>
                <w:rFonts w:hint="default" w:ascii="Times New Roman" w:hAnsi="Times New Roman" w:eastAsia="仿宋_GB2312" w:cs="Times New Roman"/>
                <w:sz w:val="20"/>
                <w:szCs w:val="20"/>
                <w:highlight w:val="none"/>
              </w:rPr>
              <w:t>建议情况</w:t>
            </w:r>
          </w:p>
          <w:p w14:paraId="7066CB0F">
            <w:pPr>
              <w:spacing w:line="300" w:lineRule="exact"/>
              <w:jc w:val="center"/>
              <w:rPr>
                <w:rFonts w:hint="default" w:ascii="Times New Roman" w:hAnsi="Times New Roman" w:eastAsia="仿宋_GB2312" w:cs="Times New Roman"/>
                <w:sz w:val="20"/>
                <w:szCs w:val="20"/>
                <w:highlight w:val="none"/>
              </w:rPr>
            </w:pPr>
            <w:r>
              <w:rPr>
                <w:rFonts w:hint="default" w:ascii="Times New Roman" w:hAnsi="Times New Roman" w:eastAsia="仿宋_GB2312" w:cs="Times New Roman"/>
                <w:sz w:val="20"/>
                <w:szCs w:val="20"/>
                <w:highlight w:val="none"/>
              </w:rPr>
              <w:t>（15分）</w:t>
            </w:r>
          </w:p>
        </w:tc>
        <w:tc>
          <w:tcPr>
            <w:tcW w:w="8022" w:type="dxa"/>
            <w:gridSpan w:val="2"/>
            <w:tcBorders>
              <w:top w:val="single" w:color="auto" w:sz="4" w:space="0"/>
              <w:left w:val="nil"/>
              <w:bottom w:val="single" w:color="auto" w:sz="4" w:space="0"/>
              <w:right w:val="single" w:color="auto" w:sz="4" w:space="0"/>
            </w:tcBorders>
            <w:noWrap w:val="0"/>
            <w:vAlign w:val="center"/>
          </w:tcPr>
          <w:p w14:paraId="4C1EF958">
            <w:pPr>
              <w:spacing w:line="240" w:lineRule="auto"/>
              <w:jc w:val="left"/>
              <w:rPr>
                <w:rFonts w:hint="default" w:ascii="Times New Roman" w:hAnsi="Times New Roman" w:eastAsia="仿宋_GB2312" w:cs="Times New Roman"/>
                <w:sz w:val="20"/>
                <w:szCs w:val="20"/>
                <w:highlight w:val="none"/>
              </w:rPr>
            </w:pPr>
            <w:r>
              <w:rPr>
                <w:rFonts w:hint="default" w:ascii="Times New Roman" w:hAnsi="Times New Roman" w:eastAsia="仿宋_GB2312" w:cs="Times New Roman"/>
                <w:sz w:val="20"/>
                <w:szCs w:val="20"/>
                <w:highlight w:val="none"/>
              </w:rPr>
              <w:t>建议与问题对应且全面的得15分，建议比较全面的得12—14分，建议不全面的得9—11分，建议过于简单的得6—8分，只提出加大资金投入建议的不得分；其他情况酌情扣分。</w:t>
            </w:r>
          </w:p>
        </w:tc>
      </w:tr>
      <w:tr w14:paraId="5EB3B8F0">
        <w:tblPrEx>
          <w:tblCellMar>
            <w:top w:w="0" w:type="dxa"/>
            <w:left w:w="108" w:type="dxa"/>
            <w:bottom w:w="0" w:type="dxa"/>
            <w:right w:w="108" w:type="dxa"/>
          </w:tblCellMar>
        </w:tblPrEx>
        <w:trPr>
          <w:trHeight w:val="631" w:hRule="atLeast"/>
          <w:jc w:val="center"/>
        </w:trPr>
        <w:tc>
          <w:tcPr>
            <w:tcW w:w="745" w:type="dxa"/>
            <w:tcBorders>
              <w:top w:val="single" w:color="auto" w:sz="4" w:space="0"/>
              <w:left w:val="single" w:color="auto" w:sz="4" w:space="0"/>
              <w:bottom w:val="single" w:color="auto" w:sz="4" w:space="0"/>
              <w:right w:val="single" w:color="auto" w:sz="4" w:space="0"/>
            </w:tcBorders>
            <w:noWrap w:val="0"/>
            <w:vAlign w:val="center"/>
          </w:tcPr>
          <w:p w14:paraId="2D48A1D5">
            <w:pPr>
              <w:spacing w:line="300" w:lineRule="exact"/>
              <w:jc w:val="center"/>
              <w:rPr>
                <w:rFonts w:hint="default" w:ascii="Times New Roman" w:hAnsi="Times New Roman" w:eastAsia="仿宋_GB2312" w:cs="Times New Roman"/>
                <w:sz w:val="20"/>
                <w:szCs w:val="20"/>
                <w:highlight w:val="none"/>
              </w:rPr>
            </w:pPr>
            <w:r>
              <w:rPr>
                <w:rFonts w:hint="default" w:ascii="Times New Roman" w:hAnsi="Times New Roman" w:eastAsia="仿宋_GB2312" w:cs="Times New Roman"/>
                <w:sz w:val="20"/>
                <w:szCs w:val="20"/>
                <w:highlight w:val="none"/>
              </w:rPr>
              <w:t>合计</w:t>
            </w:r>
          </w:p>
        </w:tc>
        <w:tc>
          <w:tcPr>
            <w:tcW w:w="1174" w:type="dxa"/>
            <w:tcBorders>
              <w:top w:val="single" w:color="auto" w:sz="4" w:space="0"/>
              <w:left w:val="single" w:color="auto" w:sz="4" w:space="0"/>
              <w:bottom w:val="single" w:color="auto" w:sz="4" w:space="0"/>
              <w:right w:val="single" w:color="auto" w:sz="4" w:space="0"/>
            </w:tcBorders>
            <w:noWrap w:val="0"/>
            <w:vAlign w:val="center"/>
          </w:tcPr>
          <w:p w14:paraId="7C91112F">
            <w:pPr>
              <w:spacing w:line="300" w:lineRule="exact"/>
              <w:jc w:val="center"/>
              <w:rPr>
                <w:rFonts w:hint="default" w:ascii="Times New Roman" w:hAnsi="Times New Roman" w:eastAsia="仿宋_GB2312" w:cs="Times New Roman"/>
                <w:sz w:val="20"/>
                <w:szCs w:val="20"/>
                <w:highlight w:val="none"/>
              </w:rPr>
            </w:pPr>
            <w:r>
              <w:rPr>
                <w:rFonts w:hint="default" w:ascii="Times New Roman" w:hAnsi="Times New Roman" w:eastAsia="仿宋_GB2312" w:cs="Times New Roman"/>
                <w:sz w:val="20"/>
                <w:szCs w:val="20"/>
                <w:highlight w:val="none"/>
              </w:rPr>
              <w:t>100分</w:t>
            </w:r>
          </w:p>
        </w:tc>
        <w:tc>
          <w:tcPr>
            <w:tcW w:w="8022" w:type="dxa"/>
            <w:gridSpan w:val="2"/>
            <w:tcBorders>
              <w:top w:val="single" w:color="auto" w:sz="4" w:space="0"/>
              <w:left w:val="single" w:color="auto" w:sz="4" w:space="0"/>
              <w:bottom w:val="single" w:color="auto" w:sz="4" w:space="0"/>
              <w:right w:val="single" w:color="auto" w:sz="4" w:space="0"/>
            </w:tcBorders>
            <w:noWrap w:val="0"/>
            <w:vAlign w:val="center"/>
          </w:tcPr>
          <w:p w14:paraId="7BD226BE">
            <w:pPr>
              <w:spacing w:line="300" w:lineRule="exact"/>
              <w:rPr>
                <w:rFonts w:hint="default" w:ascii="Times New Roman" w:hAnsi="Times New Roman" w:eastAsia="仿宋_GB2312" w:cs="Times New Roman"/>
                <w:sz w:val="20"/>
                <w:szCs w:val="20"/>
                <w:highlight w:val="none"/>
              </w:rPr>
            </w:pPr>
            <w:r>
              <w:rPr>
                <w:rFonts w:hint="default" w:ascii="Times New Roman" w:hAnsi="Times New Roman" w:eastAsia="仿宋_GB2312" w:cs="Times New Roman"/>
                <w:sz w:val="20"/>
                <w:szCs w:val="20"/>
                <w:highlight w:val="none"/>
              </w:rPr>
              <w:t>　</w:t>
            </w:r>
          </w:p>
        </w:tc>
      </w:tr>
    </w:tbl>
    <w:p w14:paraId="5480BAC7">
      <w:pPr>
        <w:spacing w:line="20" w:lineRule="exact"/>
        <w:ind w:firstLine="0"/>
        <w:jc w:val="left"/>
        <w:rPr>
          <w:rFonts w:ascii="仿宋_GB2312" w:eastAsia="仿宋_GB2312"/>
          <w:sz w:val="32"/>
          <w:szCs w:val="32"/>
        </w:rPr>
      </w:pPr>
    </w:p>
    <w:p w14:paraId="2C57674A">
      <w:pPr>
        <w:numPr>
          <w:ilvl w:val="0"/>
          <w:numId w:val="0"/>
        </w:numPr>
        <w:autoSpaceDE w:val="0"/>
        <w:autoSpaceDN w:val="0"/>
        <w:adjustRightInd w:val="0"/>
        <w:jc w:val="left"/>
        <w:rPr>
          <w:rFonts w:hint="eastAsia" w:ascii="楷体" w:hAnsi="楷体" w:eastAsia="楷体" w:cs="楷体"/>
          <w:b/>
          <w:bCs/>
          <w:i w:val="0"/>
          <w:iCs w:val="0"/>
          <w:color w:val="FF0000"/>
          <w:kern w:val="0"/>
          <w:sz w:val="36"/>
          <w:szCs w:val="36"/>
          <w:lang w:val="en-US" w:eastAsia="zh-CN"/>
        </w:rPr>
      </w:pPr>
    </w:p>
    <w:p w14:paraId="0B5B8905"/>
    <w:sectPr>
      <w:pgSz w:w="11906" w:h="16838"/>
      <w:pgMar w:top="720" w:right="720" w:bottom="720" w:left="720" w:header="851" w:footer="992" w:gutter="0"/>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小标宋_GBK">
    <w:altName w:val="微软雅黑"/>
    <w:panose1 w:val="02000000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方正小标宋简体">
    <w:altName w:val="黑体"/>
    <w:panose1 w:val="02010601030101010101"/>
    <w:charset w:val="86"/>
    <w:family w:val="auto"/>
    <w:pitch w:val="default"/>
    <w:sig w:usb0="00000000" w:usb1="0000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BB4C5B"/>
    <w:multiLevelType w:val="singleLevel"/>
    <w:tmpl w:val="02BB4C5B"/>
    <w:lvl w:ilvl="0" w:tentative="0">
      <w:start w:val="8"/>
      <w:numFmt w:val="chineseCounting"/>
      <w:suff w:val="nothing"/>
      <w:lvlText w:val="%1、"/>
      <w:lvlJc w:val="left"/>
      <w:rPr>
        <w:rFonts w:hint="eastAsia"/>
      </w:rPr>
    </w:lvl>
  </w:abstractNum>
  <w:abstractNum w:abstractNumId="1">
    <w:nsid w:val="2843FCD1"/>
    <w:multiLevelType w:val="singleLevel"/>
    <w:tmpl w:val="2843FCD1"/>
    <w:lvl w:ilvl="0" w:tentative="0">
      <w:start w:val="2"/>
      <w:numFmt w:val="decimal"/>
      <w:suff w:val="nothing"/>
      <w:lvlText w:val="%1、"/>
      <w:lvlJc w:val="left"/>
    </w:lvl>
  </w:abstractNum>
  <w:abstractNum w:abstractNumId="2">
    <w:nsid w:val="3EC51B9C"/>
    <w:multiLevelType w:val="singleLevel"/>
    <w:tmpl w:val="3EC51B9C"/>
    <w:lvl w:ilvl="0" w:tentative="0">
      <w:start w:val="4"/>
      <w:numFmt w:val="chineseCounting"/>
      <w:suff w:val="nothing"/>
      <w:lvlText w:val="%1、"/>
      <w:lvlJc w:val="left"/>
      <w:rPr>
        <w:rFonts w:hint="eastAsia"/>
      </w:rPr>
    </w:lvl>
  </w:abstractNum>
  <w:abstractNum w:abstractNumId="3">
    <w:nsid w:val="5DDF8822"/>
    <w:multiLevelType w:val="singleLevel"/>
    <w:tmpl w:val="5DDF8822"/>
    <w:lvl w:ilvl="0" w:tentative="0">
      <w:start w:val="1"/>
      <w:numFmt w:val="decimal"/>
      <w:suff w:val="nothing"/>
      <w:lvlText w:val="%1、"/>
      <w:lvlJc w:val="left"/>
    </w:lvl>
  </w:abstractNum>
  <w:num w:numId="1">
    <w:abstractNumId w:val="1"/>
  </w:num>
  <w:num w:numId="2">
    <w:abstractNumId w:val="2"/>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506F9"/>
    <w:rsid w:val="0002229B"/>
    <w:rsid w:val="000273BD"/>
    <w:rsid w:val="00040CBC"/>
    <w:rsid w:val="000415B7"/>
    <w:rsid w:val="00041E3F"/>
    <w:rsid w:val="00055DAA"/>
    <w:rsid w:val="00061F7B"/>
    <w:rsid w:val="000658A3"/>
    <w:rsid w:val="00074155"/>
    <w:rsid w:val="000A3F69"/>
    <w:rsid w:val="00103957"/>
    <w:rsid w:val="00152C6D"/>
    <w:rsid w:val="00162D39"/>
    <w:rsid w:val="001678BD"/>
    <w:rsid w:val="00182373"/>
    <w:rsid w:val="001A67DB"/>
    <w:rsid w:val="001C3C29"/>
    <w:rsid w:val="001D51E5"/>
    <w:rsid w:val="001E080D"/>
    <w:rsid w:val="001E53D0"/>
    <w:rsid w:val="001F0C3B"/>
    <w:rsid w:val="00202C82"/>
    <w:rsid w:val="00214427"/>
    <w:rsid w:val="00226CB7"/>
    <w:rsid w:val="00264552"/>
    <w:rsid w:val="00264EF9"/>
    <w:rsid w:val="00265724"/>
    <w:rsid w:val="0027426B"/>
    <w:rsid w:val="002E0A30"/>
    <w:rsid w:val="003130C4"/>
    <w:rsid w:val="00316C4B"/>
    <w:rsid w:val="0032192B"/>
    <w:rsid w:val="003479BD"/>
    <w:rsid w:val="0037197D"/>
    <w:rsid w:val="003768D5"/>
    <w:rsid w:val="003926B9"/>
    <w:rsid w:val="003C47E6"/>
    <w:rsid w:val="003C4FC2"/>
    <w:rsid w:val="00416E61"/>
    <w:rsid w:val="0042790C"/>
    <w:rsid w:val="004506F9"/>
    <w:rsid w:val="004717A2"/>
    <w:rsid w:val="00473DF3"/>
    <w:rsid w:val="00487911"/>
    <w:rsid w:val="00491741"/>
    <w:rsid w:val="004B0CEE"/>
    <w:rsid w:val="00500E5F"/>
    <w:rsid w:val="005122EF"/>
    <w:rsid w:val="0051441A"/>
    <w:rsid w:val="00517C33"/>
    <w:rsid w:val="00517D5F"/>
    <w:rsid w:val="00523644"/>
    <w:rsid w:val="0054069E"/>
    <w:rsid w:val="00544866"/>
    <w:rsid w:val="005767CC"/>
    <w:rsid w:val="00590D9F"/>
    <w:rsid w:val="00595D26"/>
    <w:rsid w:val="005A74E6"/>
    <w:rsid w:val="005B404E"/>
    <w:rsid w:val="005D4D55"/>
    <w:rsid w:val="005E2CFB"/>
    <w:rsid w:val="005F2103"/>
    <w:rsid w:val="005F3D1C"/>
    <w:rsid w:val="0062378F"/>
    <w:rsid w:val="00641842"/>
    <w:rsid w:val="00651EEC"/>
    <w:rsid w:val="00686673"/>
    <w:rsid w:val="00691E8C"/>
    <w:rsid w:val="006A22C4"/>
    <w:rsid w:val="006A351B"/>
    <w:rsid w:val="006B0422"/>
    <w:rsid w:val="006C1B53"/>
    <w:rsid w:val="006D7730"/>
    <w:rsid w:val="006E5284"/>
    <w:rsid w:val="006F3EB5"/>
    <w:rsid w:val="00702E34"/>
    <w:rsid w:val="00704395"/>
    <w:rsid w:val="00710FE7"/>
    <w:rsid w:val="00717621"/>
    <w:rsid w:val="00720FF1"/>
    <w:rsid w:val="00727A53"/>
    <w:rsid w:val="00733E26"/>
    <w:rsid w:val="00787B42"/>
    <w:rsid w:val="007C4539"/>
    <w:rsid w:val="007F3657"/>
    <w:rsid w:val="00812ED5"/>
    <w:rsid w:val="008277D9"/>
    <w:rsid w:val="0084478C"/>
    <w:rsid w:val="0086638C"/>
    <w:rsid w:val="008A3E8D"/>
    <w:rsid w:val="008E2A0E"/>
    <w:rsid w:val="009237C4"/>
    <w:rsid w:val="00944C48"/>
    <w:rsid w:val="00950252"/>
    <w:rsid w:val="00951FEE"/>
    <w:rsid w:val="00967F5D"/>
    <w:rsid w:val="009A0F95"/>
    <w:rsid w:val="009B3ADF"/>
    <w:rsid w:val="009B4D8E"/>
    <w:rsid w:val="009C3B52"/>
    <w:rsid w:val="009E6817"/>
    <w:rsid w:val="009E6E9A"/>
    <w:rsid w:val="00A01D2B"/>
    <w:rsid w:val="00A42218"/>
    <w:rsid w:val="00A70249"/>
    <w:rsid w:val="00A70B02"/>
    <w:rsid w:val="00A71D9F"/>
    <w:rsid w:val="00A92E9F"/>
    <w:rsid w:val="00AB18FF"/>
    <w:rsid w:val="00B33BEA"/>
    <w:rsid w:val="00B57C9F"/>
    <w:rsid w:val="00B63572"/>
    <w:rsid w:val="00B845B3"/>
    <w:rsid w:val="00B85D8B"/>
    <w:rsid w:val="00BB4A40"/>
    <w:rsid w:val="00BD6C3E"/>
    <w:rsid w:val="00BE3674"/>
    <w:rsid w:val="00C10681"/>
    <w:rsid w:val="00C3049A"/>
    <w:rsid w:val="00C31B1E"/>
    <w:rsid w:val="00C77645"/>
    <w:rsid w:val="00CE04C3"/>
    <w:rsid w:val="00CE76A0"/>
    <w:rsid w:val="00D148C6"/>
    <w:rsid w:val="00D17A8A"/>
    <w:rsid w:val="00D415BA"/>
    <w:rsid w:val="00D62CF2"/>
    <w:rsid w:val="00D63780"/>
    <w:rsid w:val="00D644EE"/>
    <w:rsid w:val="00D72607"/>
    <w:rsid w:val="00DD06FF"/>
    <w:rsid w:val="00DD5FE9"/>
    <w:rsid w:val="00E00C7A"/>
    <w:rsid w:val="00E37D6C"/>
    <w:rsid w:val="00E55B68"/>
    <w:rsid w:val="00E561AE"/>
    <w:rsid w:val="00E67BE6"/>
    <w:rsid w:val="00E8683C"/>
    <w:rsid w:val="00EA2B72"/>
    <w:rsid w:val="00F50CDF"/>
    <w:rsid w:val="00F74360"/>
    <w:rsid w:val="00FB462F"/>
    <w:rsid w:val="00FD6CEB"/>
    <w:rsid w:val="00FE16FA"/>
    <w:rsid w:val="00FE328A"/>
    <w:rsid w:val="00FE6269"/>
    <w:rsid w:val="00FF5CD6"/>
    <w:rsid w:val="013712F7"/>
    <w:rsid w:val="01527EDF"/>
    <w:rsid w:val="017F22D2"/>
    <w:rsid w:val="01FA65AD"/>
    <w:rsid w:val="021653B1"/>
    <w:rsid w:val="021A09FD"/>
    <w:rsid w:val="024D7497"/>
    <w:rsid w:val="027173DB"/>
    <w:rsid w:val="02922C89"/>
    <w:rsid w:val="02987B74"/>
    <w:rsid w:val="02E35293"/>
    <w:rsid w:val="02EE3C38"/>
    <w:rsid w:val="033E4BBF"/>
    <w:rsid w:val="036F6B3E"/>
    <w:rsid w:val="0385634A"/>
    <w:rsid w:val="03863E70"/>
    <w:rsid w:val="03B62CDB"/>
    <w:rsid w:val="04272627"/>
    <w:rsid w:val="04293179"/>
    <w:rsid w:val="04812FB5"/>
    <w:rsid w:val="04820ADC"/>
    <w:rsid w:val="04CE3D21"/>
    <w:rsid w:val="05410997"/>
    <w:rsid w:val="059958AD"/>
    <w:rsid w:val="05C0366A"/>
    <w:rsid w:val="05E70CC1"/>
    <w:rsid w:val="06320758"/>
    <w:rsid w:val="066C1A43"/>
    <w:rsid w:val="066F61AA"/>
    <w:rsid w:val="06957BCC"/>
    <w:rsid w:val="06C857E7"/>
    <w:rsid w:val="06F2019A"/>
    <w:rsid w:val="08A41020"/>
    <w:rsid w:val="08BD20E2"/>
    <w:rsid w:val="08C24A73"/>
    <w:rsid w:val="09285161"/>
    <w:rsid w:val="09287EA3"/>
    <w:rsid w:val="0970184A"/>
    <w:rsid w:val="0A801619"/>
    <w:rsid w:val="0A825391"/>
    <w:rsid w:val="0ACF434F"/>
    <w:rsid w:val="0AD007F3"/>
    <w:rsid w:val="0AF55421"/>
    <w:rsid w:val="0B0C7246"/>
    <w:rsid w:val="0B2C17A1"/>
    <w:rsid w:val="0B470389"/>
    <w:rsid w:val="0B996E37"/>
    <w:rsid w:val="0D112C37"/>
    <w:rsid w:val="0E286868"/>
    <w:rsid w:val="0E2B3F92"/>
    <w:rsid w:val="0E6B25E0"/>
    <w:rsid w:val="0E820056"/>
    <w:rsid w:val="0EE303C9"/>
    <w:rsid w:val="0F40581B"/>
    <w:rsid w:val="0F6634D4"/>
    <w:rsid w:val="0F670FFA"/>
    <w:rsid w:val="0FDB3CB0"/>
    <w:rsid w:val="101F18D4"/>
    <w:rsid w:val="102C283E"/>
    <w:rsid w:val="108D3E9F"/>
    <w:rsid w:val="10FB40F0"/>
    <w:rsid w:val="110034B4"/>
    <w:rsid w:val="11053269"/>
    <w:rsid w:val="114E06C3"/>
    <w:rsid w:val="117A14B8"/>
    <w:rsid w:val="118440E5"/>
    <w:rsid w:val="11944E2C"/>
    <w:rsid w:val="11F34DC7"/>
    <w:rsid w:val="120F1522"/>
    <w:rsid w:val="1212349F"/>
    <w:rsid w:val="12154D3D"/>
    <w:rsid w:val="12411FD6"/>
    <w:rsid w:val="12583BA5"/>
    <w:rsid w:val="12B409FA"/>
    <w:rsid w:val="12B660D6"/>
    <w:rsid w:val="12C34799"/>
    <w:rsid w:val="12F2507E"/>
    <w:rsid w:val="13622204"/>
    <w:rsid w:val="13A50343"/>
    <w:rsid w:val="13BA5B9C"/>
    <w:rsid w:val="13D749A0"/>
    <w:rsid w:val="13FD668A"/>
    <w:rsid w:val="142851FC"/>
    <w:rsid w:val="144F597D"/>
    <w:rsid w:val="14720225"/>
    <w:rsid w:val="149A4CFA"/>
    <w:rsid w:val="14E37374"/>
    <w:rsid w:val="14EA30AD"/>
    <w:rsid w:val="15081003"/>
    <w:rsid w:val="15AA1C40"/>
    <w:rsid w:val="15EF58A5"/>
    <w:rsid w:val="16243949"/>
    <w:rsid w:val="1638712F"/>
    <w:rsid w:val="163F4A7E"/>
    <w:rsid w:val="165D6CE8"/>
    <w:rsid w:val="16E42F30"/>
    <w:rsid w:val="17487963"/>
    <w:rsid w:val="17614581"/>
    <w:rsid w:val="179E3A27"/>
    <w:rsid w:val="17D8151A"/>
    <w:rsid w:val="17F84EE5"/>
    <w:rsid w:val="18253800"/>
    <w:rsid w:val="188D7D23"/>
    <w:rsid w:val="18A961DF"/>
    <w:rsid w:val="19AC5F87"/>
    <w:rsid w:val="19DE4FB8"/>
    <w:rsid w:val="19E868E3"/>
    <w:rsid w:val="19EC0A79"/>
    <w:rsid w:val="1A393593"/>
    <w:rsid w:val="1A756CC1"/>
    <w:rsid w:val="1B100797"/>
    <w:rsid w:val="1B2D1349"/>
    <w:rsid w:val="1B397CEE"/>
    <w:rsid w:val="1B770F93"/>
    <w:rsid w:val="1BE20386"/>
    <w:rsid w:val="1C200EAE"/>
    <w:rsid w:val="1C2C7853"/>
    <w:rsid w:val="1D41732E"/>
    <w:rsid w:val="1D97DEFF"/>
    <w:rsid w:val="1DD128F9"/>
    <w:rsid w:val="1DDE2DCF"/>
    <w:rsid w:val="1DDE4B7D"/>
    <w:rsid w:val="1DFF72E5"/>
    <w:rsid w:val="1E7B6870"/>
    <w:rsid w:val="1EFC6F07"/>
    <w:rsid w:val="1F0527A6"/>
    <w:rsid w:val="1F861028"/>
    <w:rsid w:val="1FB45B95"/>
    <w:rsid w:val="20012DA5"/>
    <w:rsid w:val="204A64FA"/>
    <w:rsid w:val="20B61DE1"/>
    <w:rsid w:val="210E7527"/>
    <w:rsid w:val="215F7D83"/>
    <w:rsid w:val="218B501C"/>
    <w:rsid w:val="21ED1832"/>
    <w:rsid w:val="22257151"/>
    <w:rsid w:val="22AC03C2"/>
    <w:rsid w:val="233012E3"/>
    <w:rsid w:val="23781159"/>
    <w:rsid w:val="23DA5DE6"/>
    <w:rsid w:val="241243C4"/>
    <w:rsid w:val="248E4F9D"/>
    <w:rsid w:val="24C820E3"/>
    <w:rsid w:val="24CE594B"/>
    <w:rsid w:val="251B2213"/>
    <w:rsid w:val="25496D80"/>
    <w:rsid w:val="25A466AC"/>
    <w:rsid w:val="25B763DF"/>
    <w:rsid w:val="25F211C5"/>
    <w:rsid w:val="26127ABA"/>
    <w:rsid w:val="26B11081"/>
    <w:rsid w:val="26BD5C77"/>
    <w:rsid w:val="26EC030B"/>
    <w:rsid w:val="26EC20B9"/>
    <w:rsid w:val="26F40F6D"/>
    <w:rsid w:val="274041B2"/>
    <w:rsid w:val="27D17500"/>
    <w:rsid w:val="27F2221F"/>
    <w:rsid w:val="283B15FE"/>
    <w:rsid w:val="28577A06"/>
    <w:rsid w:val="28B22B60"/>
    <w:rsid w:val="28B74948"/>
    <w:rsid w:val="28E55011"/>
    <w:rsid w:val="292865F2"/>
    <w:rsid w:val="292C07FD"/>
    <w:rsid w:val="298505A2"/>
    <w:rsid w:val="29C410CB"/>
    <w:rsid w:val="29CB06AB"/>
    <w:rsid w:val="2A005E7B"/>
    <w:rsid w:val="2A13795C"/>
    <w:rsid w:val="2A374DCB"/>
    <w:rsid w:val="2A557F75"/>
    <w:rsid w:val="2B381D70"/>
    <w:rsid w:val="2BAC62BA"/>
    <w:rsid w:val="2BFA5278"/>
    <w:rsid w:val="2C0954BB"/>
    <w:rsid w:val="2C3F3C94"/>
    <w:rsid w:val="2CB76CC5"/>
    <w:rsid w:val="2DA97277"/>
    <w:rsid w:val="2DC84F02"/>
    <w:rsid w:val="2DCB1181"/>
    <w:rsid w:val="2E6469D8"/>
    <w:rsid w:val="2E8928E3"/>
    <w:rsid w:val="2E894691"/>
    <w:rsid w:val="2EE8585B"/>
    <w:rsid w:val="2F4D3910"/>
    <w:rsid w:val="2F5D5FC3"/>
    <w:rsid w:val="2FA23C5C"/>
    <w:rsid w:val="2FAA48BF"/>
    <w:rsid w:val="2FDB2CCA"/>
    <w:rsid w:val="2FDF85B8"/>
    <w:rsid w:val="2FFFEE04"/>
    <w:rsid w:val="30233541"/>
    <w:rsid w:val="30422D49"/>
    <w:rsid w:val="306B04F2"/>
    <w:rsid w:val="307373A7"/>
    <w:rsid w:val="30CF2BE9"/>
    <w:rsid w:val="30E107B4"/>
    <w:rsid w:val="310D52A4"/>
    <w:rsid w:val="3148438F"/>
    <w:rsid w:val="31570A76"/>
    <w:rsid w:val="31C95635"/>
    <w:rsid w:val="31DE2EB3"/>
    <w:rsid w:val="31DE6C81"/>
    <w:rsid w:val="32144BB9"/>
    <w:rsid w:val="323D1A1A"/>
    <w:rsid w:val="3240150B"/>
    <w:rsid w:val="32917FB8"/>
    <w:rsid w:val="329847CA"/>
    <w:rsid w:val="32DD144F"/>
    <w:rsid w:val="32E91BA2"/>
    <w:rsid w:val="3339736F"/>
    <w:rsid w:val="33482D6D"/>
    <w:rsid w:val="33770F5C"/>
    <w:rsid w:val="340622E0"/>
    <w:rsid w:val="340D7B12"/>
    <w:rsid w:val="34194ED1"/>
    <w:rsid w:val="345C0152"/>
    <w:rsid w:val="34D36666"/>
    <w:rsid w:val="34DF85B0"/>
    <w:rsid w:val="351153E0"/>
    <w:rsid w:val="35780FBB"/>
    <w:rsid w:val="35B52B10"/>
    <w:rsid w:val="366D6646"/>
    <w:rsid w:val="369E7E9F"/>
    <w:rsid w:val="36EA7C97"/>
    <w:rsid w:val="3701395E"/>
    <w:rsid w:val="373F6235"/>
    <w:rsid w:val="374675C3"/>
    <w:rsid w:val="37D83F93"/>
    <w:rsid w:val="383733B0"/>
    <w:rsid w:val="388F6D48"/>
    <w:rsid w:val="38900174"/>
    <w:rsid w:val="39162FC5"/>
    <w:rsid w:val="39333B77"/>
    <w:rsid w:val="39700927"/>
    <w:rsid w:val="39974DB7"/>
    <w:rsid w:val="39FC040D"/>
    <w:rsid w:val="3A3E4582"/>
    <w:rsid w:val="3A5C3405"/>
    <w:rsid w:val="3A5E4C24"/>
    <w:rsid w:val="3AD478C5"/>
    <w:rsid w:val="3AF47336"/>
    <w:rsid w:val="3B005CDB"/>
    <w:rsid w:val="3B8F36BC"/>
    <w:rsid w:val="3BB30FEC"/>
    <w:rsid w:val="3C2B6D87"/>
    <w:rsid w:val="3D0A2E41"/>
    <w:rsid w:val="3DAC5CA6"/>
    <w:rsid w:val="3DB1150E"/>
    <w:rsid w:val="3DB73E2A"/>
    <w:rsid w:val="3DCF187A"/>
    <w:rsid w:val="3E063608"/>
    <w:rsid w:val="3E2972F7"/>
    <w:rsid w:val="3E2B7513"/>
    <w:rsid w:val="3E7C7AA0"/>
    <w:rsid w:val="3EB92D70"/>
    <w:rsid w:val="3F0A35CC"/>
    <w:rsid w:val="3F752E29"/>
    <w:rsid w:val="3FAF1A7E"/>
    <w:rsid w:val="3FDB0AC5"/>
    <w:rsid w:val="40093884"/>
    <w:rsid w:val="40267F92"/>
    <w:rsid w:val="404205A9"/>
    <w:rsid w:val="40491ED2"/>
    <w:rsid w:val="40890521"/>
    <w:rsid w:val="408D0011"/>
    <w:rsid w:val="40BB2DD0"/>
    <w:rsid w:val="42010CB6"/>
    <w:rsid w:val="42482971"/>
    <w:rsid w:val="42876CE2"/>
    <w:rsid w:val="429F5DD9"/>
    <w:rsid w:val="42B749AD"/>
    <w:rsid w:val="42EB101F"/>
    <w:rsid w:val="42F06635"/>
    <w:rsid w:val="430F7403"/>
    <w:rsid w:val="43432C09"/>
    <w:rsid w:val="435766B4"/>
    <w:rsid w:val="437B05F4"/>
    <w:rsid w:val="439159CA"/>
    <w:rsid w:val="43DB05D0"/>
    <w:rsid w:val="43EB5BA5"/>
    <w:rsid w:val="43FB34E3"/>
    <w:rsid w:val="44D97CC8"/>
    <w:rsid w:val="44E16B7D"/>
    <w:rsid w:val="453E3FCF"/>
    <w:rsid w:val="4577303D"/>
    <w:rsid w:val="45A405F5"/>
    <w:rsid w:val="45B002FD"/>
    <w:rsid w:val="46252A99"/>
    <w:rsid w:val="46EE10DD"/>
    <w:rsid w:val="47134FE8"/>
    <w:rsid w:val="47995FDF"/>
    <w:rsid w:val="481D611E"/>
    <w:rsid w:val="48E1714C"/>
    <w:rsid w:val="49066BB2"/>
    <w:rsid w:val="49155047"/>
    <w:rsid w:val="491C63D6"/>
    <w:rsid w:val="491FF225"/>
    <w:rsid w:val="4921579A"/>
    <w:rsid w:val="4A9D52F4"/>
    <w:rsid w:val="4AFC64BF"/>
    <w:rsid w:val="4B1D01E3"/>
    <w:rsid w:val="4B513338"/>
    <w:rsid w:val="4B5C6F5D"/>
    <w:rsid w:val="4B9B5473"/>
    <w:rsid w:val="4BC93EC7"/>
    <w:rsid w:val="4BD27220"/>
    <w:rsid w:val="4BEB6436"/>
    <w:rsid w:val="4BF52F0E"/>
    <w:rsid w:val="4C147838"/>
    <w:rsid w:val="4C771B75"/>
    <w:rsid w:val="4CC451D3"/>
    <w:rsid w:val="4CEA2347"/>
    <w:rsid w:val="4D6D629E"/>
    <w:rsid w:val="4D700A9E"/>
    <w:rsid w:val="4E04568A"/>
    <w:rsid w:val="4E1C6E78"/>
    <w:rsid w:val="4E355844"/>
    <w:rsid w:val="4E600B13"/>
    <w:rsid w:val="4EAA7FE0"/>
    <w:rsid w:val="4EC310A1"/>
    <w:rsid w:val="4F247D92"/>
    <w:rsid w:val="4F4A531F"/>
    <w:rsid w:val="4F552641"/>
    <w:rsid w:val="4F764366"/>
    <w:rsid w:val="4F8E7901"/>
    <w:rsid w:val="4FAD422B"/>
    <w:rsid w:val="4FB82BD0"/>
    <w:rsid w:val="4FF55908"/>
    <w:rsid w:val="4FFD214C"/>
    <w:rsid w:val="50342257"/>
    <w:rsid w:val="5060129E"/>
    <w:rsid w:val="507C59AC"/>
    <w:rsid w:val="509B4EE0"/>
    <w:rsid w:val="50C64E79"/>
    <w:rsid w:val="51134D43"/>
    <w:rsid w:val="514D3759"/>
    <w:rsid w:val="51BE2219"/>
    <w:rsid w:val="52120376"/>
    <w:rsid w:val="525A3ACB"/>
    <w:rsid w:val="5291580E"/>
    <w:rsid w:val="53034162"/>
    <w:rsid w:val="530D4FE1"/>
    <w:rsid w:val="533C1422"/>
    <w:rsid w:val="5352765A"/>
    <w:rsid w:val="54244390"/>
    <w:rsid w:val="54484E27"/>
    <w:rsid w:val="5486504B"/>
    <w:rsid w:val="549332C4"/>
    <w:rsid w:val="54972F5D"/>
    <w:rsid w:val="549A28A4"/>
    <w:rsid w:val="54AB2D04"/>
    <w:rsid w:val="54D45DB6"/>
    <w:rsid w:val="54D77655"/>
    <w:rsid w:val="54FE2E33"/>
    <w:rsid w:val="553F7A91"/>
    <w:rsid w:val="55807CEC"/>
    <w:rsid w:val="55855303"/>
    <w:rsid w:val="55A27C63"/>
    <w:rsid w:val="55BF6A67"/>
    <w:rsid w:val="55CE6CAA"/>
    <w:rsid w:val="56081F88"/>
    <w:rsid w:val="562053FC"/>
    <w:rsid w:val="56CF7D67"/>
    <w:rsid w:val="56D57BC4"/>
    <w:rsid w:val="5777D4F5"/>
    <w:rsid w:val="577E200A"/>
    <w:rsid w:val="578C4726"/>
    <w:rsid w:val="57B63E99"/>
    <w:rsid w:val="57F22B6F"/>
    <w:rsid w:val="581F37ED"/>
    <w:rsid w:val="58213CAC"/>
    <w:rsid w:val="583F3E8F"/>
    <w:rsid w:val="586D09FC"/>
    <w:rsid w:val="58C64C3F"/>
    <w:rsid w:val="59284923"/>
    <w:rsid w:val="59463B15"/>
    <w:rsid w:val="59BD32BD"/>
    <w:rsid w:val="59CD7278"/>
    <w:rsid w:val="59DD8326"/>
    <w:rsid w:val="59E17ECD"/>
    <w:rsid w:val="5A0A227A"/>
    <w:rsid w:val="5A102616"/>
    <w:rsid w:val="5A673229"/>
    <w:rsid w:val="5A8D7133"/>
    <w:rsid w:val="5AF17379"/>
    <w:rsid w:val="5B33135D"/>
    <w:rsid w:val="5BE51E1C"/>
    <w:rsid w:val="5C2A0427"/>
    <w:rsid w:val="5CE13766"/>
    <w:rsid w:val="5CEB1EEF"/>
    <w:rsid w:val="5D99435E"/>
    <w:rsid w:val="5DC50992"/>
    <w:rsid w:val="5DEF592A"/>
    <w:rsid w:val="5E0D40E7"/>
    <w:rsid w:val="5E0F7E5F"/>
    <w:rsid w:val="5E443FAD"/>
    <w:rsid w:val="5E457D25"/>
    <w:rsid w:val="5E781EA8"/>
    <w:rsid w:val="5E8A41A7"/>
    <w:rsid w:val="5EBB7CD0"/>
    <w:rsid w:val="5EE56462"/>
    <w:rsid w:val="5F954394"/>
    <w:rsid w:val="5F970C3A"/>
    <w:rsid w:val="5FC6BB1E"/>
    <w:rsid w:val="5FF720F1"/>
    <w:rsid w:val="605E51E7"/>
    <w:rsid w:val="60CB69CB"/>
    <w:rsid w:val="61113EEE"/>
    <w:rsid w:val="611539DF"/>
    <w:rsid w:val="614B38A4"/>
    <w:rsid w:val="615564D1"/>
    <w:rsid w:val="61780B93"/>
    <w:rsid w:val="61860438"/>
    <w:rsid w:val="61B431F8"/>
    <w:rsid w:val="61BB76FD"/>
    <w:rsid w:val="622964C1"/>
    <w:rsid w:val="623B56C7"/>
    <w:rsid w:val="626369CC"/>
    <w:rsid w:val="62A25746"/>
    <w:rsid w:val="62E0626E"/>
    <w:rsid w:val="632D4690"/>
    <w:rsid w:val="633F11E7"/>
    <w:rsid w:val="634E4F86"/>
    <w:rsid w:val="635C3B47"/>
    <w:rsid w:val="639332E1"/>
    <w:rsid w:val="63DE512B"/>
    <w:rsid w:val="63FB5C17"/>
    <w:rsid w:val="64047D3A"/>
    <w:rsid w:val="64504D2E"/>
    <w:rsid w:val="645C7B76"/>
    <w:rsid w:val="658E1FB1"/>
    <w:rsid w:val="65A92947"/>
    <w:rsid w:val="65B80DDC"/>
    <w:rsid w:val="65DF6369"/>
    <w:rsid w:val="6712451C"/>
    <w:rsid w:val="671C0F20"/>
    <w:rsid w:val="673152EA"/>
    <w:rsid w:val="674548F2"/>
    <w:rsid w:val="674566A0"/>
    <w:rsid w:val="67C84A0C"/>
    <w:rsid w:val="67FF5C0B"/>
    <w:rsid w:val="6813679E"/>
    <w:rsid w:val="681A01F7"/>
    <w:rsid w:val="682E35D8"/>
    <w:rsid w:val="68B24209"/>
    <w:rsid w:val="69272501"/>
    <w:rsid w:val="69456E2B"/>
    <w:rsid w:val="695F037D"/>
    <w:rsid w:val="69C9180A"/>
    <w:rsid w:val="6A072332"/>
    <w:rsid w:val="6A242EE4"/>
    <w:rsid w:val="6A681023"/>
    <w:rsid w:val="6AEA5EDC"/>
    <w:rsid w:val="6B2A0087"/>
    <w:rsid w:val="6B9320D0"/>
    <w:rsid w:val="6BAA4A2F"/>
    <w:rsid w:val="6BAC13E3"/>
    <w:rsid w:val="6BB037D1"/>
    <w:rsid w:val="6BDB45CA"/>
    <w:rsid w:val="6C055D98"/>
    <w:rsid w:val="6C0E1756"/>
    <w:rsid w:val="6C303DC2"/>
    <w:rsid w:val="6C9C4FB4"/>
    <w:rsid w:val="6CAB51F7"/>
    <w:rsid w:val="6CCE0EE6"/>
    <w:rsid w:val="6D176D30"/>
    <w:rsid w:val="6D6F26C8"/>
    <w:rsid w:val="6D8F4B19"/>
    <w:rsid w:val="6DB918E7"/>
    <w:rsid w:val="6DDEC5C0"/>
    <w:rsid w:val="6E6164B5"/>
    <w:rsid w:val="6E647D53"/>
    <w:rsid w:val="6EC9405A"/>
    <w:rsid w:val="6EF03395"/>
    <w:rsid w:val="6EF8049C"/>
    <w:rsid w:val="6EFC0924"/>
    <w:rsid w:val="6F0A49DA"/>
    <w:rsid w:val="6F9E42AF"/>
    <w:rsid w:val="6FB74722"/>
    <w:rsid w:val="6FEF8B7E"/>
    <w:rsid w:val="6FF944CB"/>
    <w:rsid w:val="7006721D"/>
    <w:rsid w:val="705709C7"/>
    <w:rsid w:val="707029DF"/>
    <w:rsid w:val="70871AD7"/>
    <w:rsid w:val="717FE77F"/>
    <w:rsid w:val="71A6591B"/>
    <w:rsid w:val="71E847F7"/>
    <w:rsid w:val="71F80EDE"/>
    <w:rsid w:val="724C2FD8"/>
    <w:rsid w:val="72591622"/>
    <w:rsid w:val="7280739C"/>
    <w:rsid w:val="72A42E14"/>
    <w:rsid w:val="72A526E9"/>
    <w:rsid w:val="72EB27F1"/>
    <w:rsid w:val="734B045B"/>
    <w:rsid w:val="737D59BA"/>
    <w:rsid w:val="737F32B1"/>
    <w:rsid w:val="73BD3FCA"/>
    <w:rsid w:val="73D74B24"/>
    <w:rsid w:val="74AF5AA0"/>
    <w:rsid w:val="74F27AE5"/>
    <w:rsid w:val="7507768A"/>
    <w:rsid w:val="75265D63"/>
    <w:rsid w:val="754937FF"/>
    <w:rsid w:val="75635629"/>
    <w:rsid w:val="757A60AE"/>
    <w:rsid w:val="75892C33"/>
    <w:rsid w:val="75952EE8"/>
    <w:rsid w:val="759E1D9D"/>
    <w:rsid w:val="75DD0891"/>
    <w:rsid w:val="76543367"/>
    <w:rsid w:val="76A40069"/>
    <w:rsid w:val="76DB0DCF"/>
    <w:rsid w:val="76FB4FCD"/>
    <w:rsid w:val="77084456"/>
    <w:rsid w:val="773F135E"/>
    <w:rsid w:val="776BDA01"/>
    <w:rsid w:val="779571D0"/>
    <w:rsid w:val="77B51BF1"/>
    <w:rsid w:val="77BF249E"/>
    <w:rsid w:val="77C37683"/>
    <w:rsid w:val="77F57C6E"/>
    <w:rsid w:val="787B4617"/>
    <w:rsid w:val="78C25DA2"/>
    <w:rsid w:val="78CE2999"/>
    <w:rsid w:val="793B3DA7"/>
    <w:rsid w:val="79554E68"/>
    <w:rsid w:val="79557038"/>
    <w:rsid w:val="79AC25AE"/>
    <w:rsid w:val="79BF6786"/>
    <w:rsid w:val="79FF515B"/>
    <w:rsid w:val="7A1D7C7E"/>
    <w:rsid w:val="7A7632E8"/>
    <w:rsid w:val="7A7D1553"/>
    <w:rsid w:val="7AA365C9"/>
    <w:rsid w:val="7B0C08EF"/>
    <w:rsid w:val="7B450F0D"/>
    <w:rsid w:val="7BE61DA8"/>
    <w:rsid w:val="7C296138"/>
    <w:rsid w:val="7C73290E"/>
    <w:rsid w:val="7CD51E1C"/>
    <w:rsid w:val="7D0270B5"/>
    <w:rsid w:val="7D3D633F"/>
    <w:rsid w:val="7DA0242A"/>
    <w:rsid w:val="7DFBFF20"/>
    <w:rsid w:val="7E0B1F99"/>
    <w:rsid w:val="7E4D2A5C"/>
    <w:rsid w:val="7E9E1962"/>
    <w:rsid w:val="7E9F11B4"/>
    <w:rsid w:val="7EAF25EA"/>
    <w:rsid w:val="7EB571E3"/>
    <w:rsid w:val="7F37EC1E"/>
    <w:rsid w:val="7F7C0DDA"/>
    <w:rsid w:val="7F7DCD9D"/>
    <w:rsid w:val="7F967F89"/>
    <w:rsid w:val="7F970A6F"/>
    <w:rsid w:val="7FC1FFF3"/>
    <w:rsid w:val="7FC69637"/>
    <w:rsid w:val="7FDD34C2"/>
    <w:rsid w:val="7FDF8620"/>
    <w:rsid w:val="7FFB242F"/>
    <w:rsid w:val="7FFDB408"/>
    <w:rsid w:val="7FFE4EEB"/>
    <w:rsid w:val="95FB2B98"/>
    <w:rsid w:val="9A639BC2"/>
    <w:rsid w:val="9FF7D786"/>
    <w:rsid w:val="ABBFB23D"/>
    <w:rsid w:val="B6BE5A03"/>
    <w:rsid w:val="B8C93228"/>
    <w:rsid w:val="C3B4DA5A"/>
    <w:rsid w:val="C4FF458C"/>
    <w:rsid w:val="C7BBD038"/>
    <w:rsid w:val="CBFF70E0"/>
    <w:rsid w:val="CFF50B82"/>
    <w:rsid w:val="CFFFAD89"/>
    <w:rsid w:val="DFFE359E"/>
    <w:rsid w:val="DFFE4FFD"/>
    <w:rsid w:val="DFFF5403"/>
    <w:rsid w:val="EBC3E00A"/>
    <w:rsid w:val="EDFBE100"/>
    <w:rsid w:val="EEABED75"/>
    <w:rsid w:val="EF7E8003"/>
    <w:rsid w:val="F56FDF51"/>
    <w:rsid w:val="F5F3EE78"/>
    <w:rsid w:val="F6B69F17"/>
    <w:rsid w:val="F6E5BB3A"/>
    <w:rsid w:val="F77F1D61"/>
    <w:rsid w:val="F7FED3A9"/>
    <w:rsid w:val="F8C9DB26"/>
    <w:rsid w:val="F97E8EAE"/>
    <w:rsid w:val="FB36E1A6"/>
    <w:rsid w:val="FB3BE134"/>
    <w:rsid w:val="FCFF4275"/>
    <w:rsid w:val="FD7FEEEA"/>
    <w:rsid w:val="FDFFB577"/>
    <w:rsid w:val="FEEA50FE"/>
    <w:rsid w:val="FF7D47A9"/>
    <w:rsid w:val="FFCF21CB"/>
    <w:rsid w:val="FFF94102"/>
    <w:rsid w:val="FFFF1C8B"/>
    <w:rsid w:val="FFFF743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nhideWhenUsed="0" w:uiPriority="0"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uiPriority="99"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99"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10">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Body Text Indent"/>
    <w:basedOn w:val="1"/>
    <w:next w:val="1"/>
    <w:unhideWhenUsed/>
    <w:qFormat/>
    <w:uiPriority w:val="99"/>
    <w:pPr>
      <w:widowControl/>
      <w:spacing w:after="120"/>
      <w:ind w:left="420" w:leftChars="200"/>
      <w:jc w:val="left"/>
    </w:pPr>
    <w:rPr>
      <w:rFonts w:ascii="宋体" w:hAnsi="宋体" w:eastAsia="宋体" w:cs="宋体"/>
      <w:kern w:val="0"/>
      <w:sz w:val="24"/>
    </w:rPr>
  </w:style>
  <w:style w:type="paragraph" w:styleId="3">
    <w:name w:val="Balloon Text"/>
    <w:basedOn w:val="1"/>
    <w:link w:val="16"/>
    <w:semiHidden/>
    <w:unhideWhenUsed/>
    <w:qFormat/>
    <w:uiPriority w:val="99"/>
    <w:rPr>
      <w:sz w:val="18"/>
      <w:szCs w:val="18"/>
    </w:rPr>
  </w:style>
  <w:style w:type="paragraph" w:styleId="4">
    <w:name w:val="footer"/>
    <w:basedOn w:val="1"/>
    <w:link w:val="13"/>
    <w:unhideWhenUsed/>
    <w:qFormat/>
    <w:uiPriority w:val="99"/>
    <w:pPr>
      <w:tabs>
        <w:tab w:val="center" w:pos="4153"/>
        <w:tab w:val="right" w:pos="8306"/>
      </w:tabs>
      <w:snapToGrid w:val="0"/>
      <w:jc w:val="left"/>
    </w:pPr>
    <w:rPr>
      <w:sz w:val="18"/>
      <w:szCs w:val="18"/>
    </w:rPr>
  </w:style>
  <w:style w:type="paragraph" w:styleId="5">
    <w:name w:val="header"/>
    <w:basedOn w:val="1"/>
    <w:link w:val="12"/>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footnote text"/>
    <w:basedOn w:val="1"/>
    <w:next w:val="7"/>
    <w:semiHidden/>
    <w:qFormat/>
    <w:uiPriority w:val="0"/>
    <w:pPr>
      <w:snapToGrid w:val="0"/>
      <w:jc w:val="left"/>
    </w:pPr>
    <w:rPr>
      <w:sz w:val="18"/>
      <w:szCs w:val="18"/>
    </w:rPr>
  </w:style>
  <w:style w:type="paragraph" w:styleId="7">
    <w:name w:val="Body Text First Indent 2"/>
    <w:basedOn w:val="2"/>
    <w:next w:val="1"/>
    <w:unhideWhenUsed/>
    <w:qFormat/>
    <w:uiPriority w:val="99"/>
    <w:pPr>
      <w:ind w:firstLine="420" w:firstLineChars="200"/>
    </w:pPr>
  </w:style>
  <w:style w:type="paragraph" w:styleId="8">
    <w:name w:val="Title"/>
    <w:basedOn w:val="1"/>
    <w:next w:val="2"/>
    <w:qFormat/>
    <w:uiPriority w:val="0"/>
    <w:pPr>
      <w:spacing w:before="240" w:after="60"/>
      <w:jc w:val="center"/>
      <w:outlineLvl w:val="0"/>
    </w:pPr>
    <w:rPr>
      <w:rFonts w:ascii="Cambria" w:hAnsi="Cambria"/>
      <w:b/>
      <w:bCs/>
      <w:sz w:val="32"/>
      <w:szCs w:val="32"/>
    </w:rPr>
  </w:style>
  <w:style w:type="character" w:styleId="11">
    <w:name w:val="page number"/>
    <w:qFormat/>
    <w:uiPriority w:val="0"/>
  </w:style>
  <w:style w:type="character" w:customStyle="1" w:styleId="12">
    <w:name w:val="页眉 Char"/>
    <w:basedOn w:val="10"/>
    <w:link w:val="5"/>
    <w:qFormat/>
    <w:uiPriority w:val="99"/>
    <w:rPr>
      <w:sz w:val="18"/>
      <w:szCs w:val="18"/>
    </w:rPr>
  </w:style>
  <w:style w:type="character" w:customStyle="1" w:styleId="13">
    <w:name w:val="页脚 Char"/>
    <w:basedOn w:val="10"/>
    <w:link w:val="4"/>
    <w:qFormat/>
    <w:uiPriority w:val="99"/>
    <w:rPr>
      <w:sz w:val="18"/>
      <w:szCs w:val="18"/>
    </w:rPr>
  </w:style>
  <w:style w:type="paragraph" w:customStyle="1" w:styleId="14">
    <w:name w:val="Default"/>
    <w:qFormat/>
    <w:uiPriority w:val="0"/>
    <w:pPr>
      <w:widowControl w:val="0"/>
      <w:autoSpaceDE w:val="0"/>
      <w:autoSpaceDN w:val="0"/>
      <w:adjustRightInd w:val="0"/>
    </w:pPr>
    <w:rPr>
      <w:rFonts w:ascii="黑体" w:eastAsia="黑体" w:cs="黑体" w:hAnsiTheme="minorHAnsi"/>
      <w:color w:val="000000"/>
      <w:kern w:val="0"/>
      <w:sz w:val="24"/>
      <w:szCs w:val="24"/>
      <w:lang w:val="en-US" w:eastAsia="zh-CN" w:bidi="ar-SA"/>
    </w:rPr>
  </w:style>
  <w:style w:type="paragraph" w:styleId="15">
    <w:name w:val="List Paragraph"/>
    <w:basedOn w:val="1"/>
    <w:qFormat/>
    <w:uiPriority w:val="34"/>
    <w:pPr>
      <w:ind w:firstLine="420" w:firstLineChars="200"/>
    </w:pPr>
  </w:style>
  <w:style w:type="character" w:customStyle="1" w:styleId="16">
    <w:name w:val="批注框文本 Char"/>
    <w:basedOn w:val="10"/>
    <w:link w:val="3"/>
    <w:semiHidden/>
    <w:qFormat/>
    <w:uiPriority w:val="99"/>
    <w:rPr>
      <w:sz w:val="18"/>
      <w:szCs w:val="18"/>
    </w:rPr>
  </w:style>
  <w:style w:type="character" w:customStyle="1" w:styleId="17">
    <w:name w:val="font01"/>
    <w:basedOn w:val="10"/>
    <w:qFormat/>
    <w:uiPriority w:val="0"/>
    <w:rPr>
      <w:rFonts w:hint="eastAsia" w:ascii="宋体" w:hAnsi="宋体" w:eastAsia="宋体" w:cs="宋体"/>
      <w:color w:val="000000"/>
      <w:sz w:val="22"/>
      <w:szCs w:val="22"/>
      <w:u w:val="none"/>
    </w:rPr>
  </w:style>
  <w:style w:type="character" w:customStyle="1" w:styleId="18">
    <w:name w:val="font21"/>
    <w:basedOn w:val="10"/>
    <w:qFormat/>
    <w:uiPriority w:val="0"/>
    <w:rPr>
      <w:rFonts w:hint="eastAsia" w:ascii="宋体" w:hAnsi="宋体" w:eastAsia="宋体" w:cs="宋体"/>
      <w:color w:val="000000"/>
      <w:sz w:val="24"/>
      <w:szCs w:val="24"/>
      <w:u w:val="none"/>
    </w:rPr>
  </w:style>
  <w:style w:type="character" w:customStyle="1" w:styleId="19">
    <w:name w:val="font11"/>
    <w:basedOn w:val="10"/>
    <w:qFormat/>
    <w:uiPriority w:val="0"/>
    <w:rPr>
      <w:rFonts w:hint="eastAsia" w:ascii="宋体" w:hAnsi="宋体" w:eastAsia="宋体" w:cs="宋体"/>
      <w:color w:val="000000"/>
      <w:sz w:val="24"/>
      <w:szCs w:val="24"/>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31</Pages>
  <Words>2466</Words>
  <Characters>2776</Characters>
  <Lines>63</Lines>
  <Paragraphs>18</Paragraphs>
  <TotalTime>0</TotalTime>
  <ScaleCrop>false</ScaleCrop>
  <LinksUpToDate>false</LinksUpToDate>
  <CharactersWithSpaces>2790</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2020-07-10T18:32:00Z</dcterms:created>
  <dc:creator>李航 null</dc:creator>
  <cp:lastModifiedBy>李娜</cp:lastModifiedBy>
  <cp:lastPrinted>2024-08-11T02:20:00Z</cp:lastPrinted>
  <dcterms:modified xsi:type="dcterms:W3CDTF">2025-09-30T02:17:29Z</dcterms:modified>
  <cp:revision>67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98623D6660B449428EB8E073C6C952EA</vt:lpwstr>
  </property>
  <property fmtid="{D5CDD505-2E9C-101B-9397-08002B2CF9AE}" pid="4" name="KSOTemplateDocerSaveRecord">
    <vt:lpwstr>eyJoZGlkIjoiNzBmZGRlMWFkNDNjOTBiNjM1NzA2YjA4Y2E1ZTFmYTMiLCJ1c2VySWQiOiI5MzgxNzQ1MjYifQ==</vt:lpwstr>
  </property>
</Properties>
</file>