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jc w:val="center"/>
        <w:rPr>
          <w:sz w:val="56"/>
          <w:szCs w:val="56"/>
        </w:rPr>
      </w:pPr>
    </w:p>
    <w:p>
      <w:pPr>
        <w:pStyle w:val="12"/>
        <w:jc w:val="center"/>
        <w:rPr>
          <w:sz w:val="56"/>
          <w:szCs w:val="56"/>
        </w:rPr>
      </w:pPr>
    </w:p>
    <w:p>
      <w:pPr>
        <w:pStyle w:val="12"/>
        <w:jc w:val="center"/>
        <w:rPr>
          <w:sz w:val="84"/>
          <w:szCs w:val="84"/>
        </w:rPr>
      </w:pPr>
    </w:p>
    <w:p>
      <w:pPr>
        <w:pStyle w:val="12"/>
        <w:jc w:val="center"/>
        <w:rPr>
          <w:sz w:val="84"/>
          <w:szCs w:val="84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202</w:t>
      </w:r>
      <w:r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  <w:t>4</w:t>
      </w: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年度</w:t>
      </w: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  <w:t>岳阳市中心医院</w:t>
      </w: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部门决算</w:t>
      </w: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56"/>
          <w:szCs w:val="56"/>
        </w:rPr>
      </w:pPr>
    </w:p>
    <w:p>
      <w:pPr>
        <w:pStyle w:val="12"/>
        <w:jc w:val="center"/>
        <w:rPr>
          <w:sz w:val="56"/>
          <w:szCs w:val="56"/>
        </w:rPr>
      </w:pPr>
    </w:p>
    <w:p>
      <w:pPr>
        <w:pStyle w:val="12"/>
        <w:jc w:val="center"/>
        <w:rPr>
          <w:sz w:val="56"/>
          <w:szCs w:val="56"/>
        </w:rPr>
      </w:pPr>
    </w:p>
    <w:p>
      <w:pPr>
        <w:pStyle w:val="12"/>
        <w:jc w:val="center"/>
        <w:rPr>
          <w:sz w:val="56"/>
          <w:szCs w:val="56"/>
        </w:rPr>
      </w:pPr>
    </w:p>
    <w:p>
      <w:pPr>
        <w:pStyle w:val="12"/>
        <w:jc w:val="center"/>
        <w:rPr>
          <w:sz w:val="32"/>
          <w:szCs w:val="32"/>
        </w:rPr>
      </w:pPr>
    </w:p>
    <w:p>
      <w:pPr>
        <w:pStyle w:val="12"/>
        <w:jc w:val="center"/>
        <w:rPr>
          <w:sz w:val="32"/>
          <w:szCs w:val="32"/>
        </w:rPr>
      </w:pPr>
    </w:p>
    <w:p>
      <w:pPr>
        <w:pStyle w:val="12"/>
        <w:jc w:val="center"/>
        <w:rPr>
          <w:sz w:val="32"/>
          <w:szCs w:val="32"/>
        </w:rPr>
      </w:pPr>
    </w:p>
    <w:p>
      <w:pPr>
        <w:pStyle w:val="12"/>
        <w:jc w:val="center"/>
        <w:rPr>
          <w:sz w:val="32"/>
          <w:szCs w:val="32"/>
        </w:rPr>
      </w:pPr>
    </w:p>
    <w:p>
      <w:pPr>
        <w:pStyle w:val="12"/>
        <w:jc w:val="center"/>
        <w:rPr>
          <w:sz w:val="32"/>
          <w:szCs w:val="32"/>
        </w:rPr>
      </w:pPr>
    </w:p>
    <w:p>
      <w:pPr>
        <w:pStyle w:val="12"/>
        <w:spacing w:line="540" w:lineRule="exact"/>
        <w:jc w:val="center"/>
        <w:rPr>
          <w:sz w:val="56"/>
          <w:szCs w:val="56"/>
        </w:rPr>
      </w:pPr>
    </w:p>
    <w:p>
      <w:pPr>
        <w:pStyle w:val="12"/>
        <w:spacing w:line="500" w:lineRule="exact"/>
        <w:jc w:val="both"/>
        <w:rPr>
          <w:b/>
          <w:sz w:val="36"/>
          <w:szCs w:val="28"/>
        </w:rPr>
      </w:pPr>
    </w:p>
    <w:p>
      <w:pPr>
        <w:pStyle w:val="12"/>
        <w:spacing w:line="500" w:lineRule="exact"/>
        <w:jc w:val="center"/>
        <w:rPr>
          <w:b/>
          <w:sz w:val="36"/>
          <w:szCs w:val="28"/>
        </w:rPr>
      </w:pPr>
      <w:r>
        <w:rPr>
          <w:rFonts w:hint="eastAsia"/>
          <w:b/>
          <w:sz w:val="36"/>
          <w:szCs w:val="28"/>
        </w:rPr>
        <w:t>目录</w:t>
      </w:r>
    </w:p>
    <w:p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第一部分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hAnsi="黑体" w:cs="黑体"/>
          <w:b w:val="0"/>
          <w:bCs/>
          <w:sz w:val="28"/>
          <w:szCs w:val="28"/>
          <w:lang w:val="en-US" w:eastAsia="zh-CN"/>
        </w:rPr>
        <w:t>岳阳市中心医院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单位概况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一、部门职责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二、机构设置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及决算单位构成</w:t>
      </w:r>
    </w:p>
    <w:p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第二部分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部门决算表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一、收入支出决算总表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二、收入决算表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三、支出决算表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四、财政拨款收入支出决算总表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五、一般公共预算财政拨款支出决算表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六、一般公共预算财政拨款基本支出决算明细表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七、政府性基金预算财政拨款收入支出决算表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八、国有资本经营预算财政拨款支出决算表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九、财政拨款“三公”经费支出决算表</w:t>
      </w:r>
    </w:p>
    <w:p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第三部分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部门决算情况说明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一、收入支出决算总体情况说明</w:t>
      </w:r>
    </w:p>
    <w:p>
      <w:pPr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二、收入决算情况说明</w:t>
      </w:r>
    </w:p>
    <w:p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三、支出决算情况说明</w:t>
      </w:r>
    </w:p>
    <w:p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四、财政拨款收入支出决算总体情况说明</w:t>
      </w:r>
    </w:p>
    <w:p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五、一般公共预算财政拨款支出决算情况说明</w:t>
      </w:r>
    </w:p>
    <w:p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六、一般公共预算财政拨款基本支出决算情况说明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七、政府性基金预算收入支出决算情况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yellow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</w:rPr>
        <w:t>八、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国有资本经营预算财政拨款支出决算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九、财政拨款三公经费支出决算情况说明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十、关于机关运行经费支出说明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十一、一般性支出情况说明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十二、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关于政府采购支出说明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  <w:t>十三、关于国有资产占用情况说明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  <w:lang w:val="en-US" w:eastAsia="zh-CN" w:bidi="ar-SA"/>
        </w:rPr>
        <w:t>十四、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关于</w:t>
      </w:r>
      <w:r>
        <w:rPr>
          <w:rFonts w:hint="default" w:ascii="Times New Roman" w:hAnsi="Times New Roman" w:eastAsia="仿宋_GB2312" w:cs="Times New Roman"/>
          <w:sz w:val="28"/>
          <w:szCs w:val="28"/>
          <w:highlight w:val="none"/>
        </w:rPr>
        <w:t>202</w:t>
      </w:r>
      <w:r>
        <w:rPr>
          <w:rFonts w:hint="eastAsia" w:ascii="Times New Roman" w:hAnsi="Times New Roman" w:eastAsia="仿宋_GB2312" w:cs="Times New Roman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年度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预算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绩效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管理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情况的说明</w:t>
      </w:r>
    </w:p>
    <w:p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第四部分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名词解释</w:t>
      </w:r>
    </w:p>
    <w:p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</w:t>
      </w:r>
      <w:r>
        <w:rPr>
          <w:rFonts w:hint="eastAsia" w:hAnsi="黑体" w:cs="黑体"/>
          <w:b w:val="0"/>
          <w:bCs/>
          <w:sz w:val="28"/>
          <w:szCs w:val="28"/>
          <w:lang w:eastAsia="zh-CN"/>
        </w:rPr>
        <w:t>五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hAnsi="黑体" w:cs="黑体"/>
          <w:b w:val="0"/>
          <w:bCs/>
          <w:sz w:val="28"/>
          <w:szCs w:val="28"/>
          <w:lang w:eastAsia="zh-CN"/>
        </w:rPr>
        <w:t>附件</w:t>
      </w: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 xml:space="preserve">第一部分 </w:t>
      </w: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  <w:t>岳阳市中心医院</w:t>
      </w: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单位概况</w:t>
      </w:r>
    </w:p>
    <w:p>
      <w:pPr>
        <w:pStyle w:val="7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4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7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4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13"/>
        <w:numPr>
          <w:ilvl w:val="0"/>
          <w:numId w:val="1"/>
        </w:numPr>
        <w:ind w:firstLineChars="0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部门职责</w:t>
      </w:r>
    </w:p>
    <w:p>
      <w:pPr>
        <w:keepNext/>
        <w:keepLines/>
        <w:shd w:val="clear" w:color="auto" w:fill="FFFFFF"/>
        <w:spacing w:beforeLines="0" w:afterLines="0"/>
        <w:ind w:firstLine="640"/>
        <w:jc w:val="left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岳阳市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中心</w:t>
      </w:r>
      <w:r>
        <w:rPr>
          <w:rFonts w:hint="eastAsia" w:ascii="宋体" w:hAnsi="宋体" w:eastAsia="宋体" w:cs="宋体"/>
          <w:sz w:val="32"/>
          <w:szCs w:val="32"/>
        </w:rPr>
        <w:t>医院始建于1964年</w:t>
      </w:r>
      <w:r>
        <w:rPr>
          <w:rFonts w:hint="eastAsia" w:ascii="宋体" w:hAnsi="宋体" w:eastAsia="宋体" w:cs="宋体"/>
          <w:bCs/>
          <w:sz w:val="32"/>
          <w:szCs w:val="32"/>
        </w:rPr>
        <w:t>，是</w:t>
      </w:r>
      <w:r>
        <w:rPr>
          <w:rFonts w:hint="eastAsia" w:ascii="宋体" w:hAnsi="宋体" w:eastAsia="宋体" w:cs="宋体"/>
          <w:sz w:val="32"/>
          <w:szCs w:val="32"/>
        </w:rPr>
        <w:t>一所集医疗、教学、科研、预防、保健、康复于一体的三级甲等综合性医院。医院分设院本部、东院和南院，编制病床共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1929张</w:t>
      </w:r>
      <w:r>
        <w:rPr>
          <w:rFonts w:hint="eastAsia" w:ascii="宋体" w:hAnsi="宋体" w:eastAsia="宋体" w:cs="宋体"/>
          <w:sz w:val="32"/>
          <w:szCs w:val="32"/>
        </w:rPr>
        <w:t>全院共开设59个诊疗科目，其中临床类47个，医技类12个。开放病区62个，其中院本部3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sz w:val="32"/>
          <w:szCs w:val="32"/>
        </w:rPr>
        <w:t>个、东院1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7</w:t>
      </w:r>
      <w:r>
        <w:rPr>
          <w:rFonts w:hint="eastAsia" w:ascii="宋体" w:hAnsi="宋体" w:eastAsia="宋体" w:cs="宋体"/>
          <w:sz w:val="32"/>
          <w:szCs w:val="32"/>
        </w:rPr>
        <w:t>个、南院1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sz w:val="32"/>
          <w:szCs w:val="32"/>
        </w:rPr>
        <w:t>个。</w:t>
      </w:r>
      <w:r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  <w:t>医院是湖南省区域医疗中心、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全国文明单位、全国卫生</w:t>
      </w:r>
      <w:r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  <w:t>健康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系统先进集</w:t>
      </w:r>
      <w:r>
        <w:rPr>
          <w:rFonts w:hint="eastAsia" w:ascii="宋体" w:hAnsi="宋体" w:eastAsia="宋体" w:cs="宋体"/>
          <w:bCs/>
          <w:color w:val="000000"/>
          <w:sz w:val="32"/>
          <w:szCs w:val="32"/>
          <w:lang w:eastAsia="zh-CN"/>
        </w:rPr>
        <w:t>体、</w:t>
      </w:r>
      <w:r>
        <w:rPr>
          <w:rFonts w:hint="eastAsia" w:ascii="宋体" w:hAnsi="宋体" w:eastAsia="宋体" w:cs="宋体"/>
          <w:bCs/>
          <w:color w:val="000000"/>
          <w:sz w:val="32"/>
          <w:szCs w:val="32"/>
          <w:lang w:val="en-US" w:eastAsia="zh-CN"/>
        </w:rPr>
        <w:t>湖南省高质量发展示范性医院</w:t>
      </w:r>
      <w:r>
        <w:rPr>
          <w:rFonts w:hint="eastAsia" w:ascii="宋体" w:hAnsi="宋体" w:eastAsia="宋体" w:cs="宋体"/>
          <w:bCs/>
          <w:color w:val="000000"/>
          <w:sz w:val="32"/>
          <w:szCs w:val="32"/>
          <w:lang w:eastAsia="zh-CN"/>
        </w:rPr>
        <w:t>，拥有国家级高级卒中中心、胸痛中心、房颤中心、心衰中心，是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国家住院医师规范化培训基地</w:t>
      </w:r>
      <w:r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国家药物临床试验机构、国际紧急救援网络医院、全国直升机医疗救援基地</w:t>
      </w:r>
      <w:r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国家卫健委脑卒中筛查与防治基地、全国骨膜牵张术培训基地、</w:t>
      </w:r>
      <w:r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  <w:t>全国上消化道出血快速急救示范基地、全国健康管理示范基地、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国家标准化心脏康复中心、国家乳腺癌规范诊疗质量控制中心</w:t>
      </w:r>
      <w:r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  <w:t>，是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湖南省全科医生转岗培训基地</w:t>
      </w:r>
      <w:r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  <w:t>、中华医学会临床药师学员培训基地、中国康复医学会疼痛康复专科培训基地、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中南大学湘雅医学院临床教学基地</w:t>
      </w:r>
      <w:r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  <w:t>。</w:t>
      </w: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2021年8月，湖南省政府明确支持将岳阳市中心医院建设成湘鄂赣省际医疗中心。</w:t>
      </w:r>
    </w:p>
    <w:p>
      <w:pPr>
        <w:widowControl/>
        <w:spacing w:line="600" w:lineRule="exact"/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  <w:t>二、机构设置及决算单位构成</w:t>
      </w:r>
    </w:p>
    <w:p>
      <w:pPr>
        <w:widowControl/>
        <w:spacing w:line="600" w:lineRule="exact"/>
        <w:rPr>
          <w:rFonts w:hint="eastAsia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（一）内设机构设置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。</w:t>
      </w:r>
      <w:r>
        <w:rPr>
          <w:rFonts w:hint="eastAsia" w:ascii="宋体" w:hAnsi="宋体" w:eastAsia="宋体" w:cs="宋体"/>
          <w:bCs/>
          <w:kern w:val="0"/>
          <w:sz w:val="32"/>
          <w:szCs w:val="32"/>
          <w:lang w:val="en-US" w:eastAsia="zh-CN"/>
        </w:rPr>
        <w:t>岳阳市中心医院</w:t>
      </w:r>
      <w:r>
        <w:rPr>
          <w:rFonts w:hint="eastAsia" w:ascii="宋体" w:hAnsi="宋体" w:eastAsia="宋体" w:cs="宋体"/>
          <w:bCs/>
          <w:kern w:val="0"/>
          <w:sz w:val="32"/>
          <w:szCs w:val="32"/>
        </w:rPr>
        <w:t>单位内设机构包括</w:t>
      </w:r>
      <w:r>
        <w:rPr>
          <w:rFonts w:hint="eastAsia" w:ascii="宋体" w:hAnsi="宋体" w:eastAsia="宋体" w:cs="宋体"/>
          <w:bCs/>
          <w:kern w:val="0"/>
          <w:sz w:val="32"/>
          <w:szCs w:val="32"/>
          <w:lang w:eastAsia="zh-CN"/>
        </w:rPr>
        <w:t>：</w:t>
      </w:r>
      <w:r>
        <w:rPr>
          <w:rFonts w:hint="eastAsia" w:ascii="宋体" w:hAnsi="宋体" w:eastAsia="宋体" w:cs="宋体"/>
          <w:sz w:val="32"/>
          <w:szCs w:val="32"/>
        </w:rPr>
        <w:t>院本部、东院和南院，编制病床共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1929</w:t>
      </w:r>
      <w:r>
        <w:rPr>
          <w:rFonts w:hint="eastAsia" w:ascii="宋体" w:hAnsi="宋体" w:eastAsia="宋体" w:cs="宋体"/>
          <w:sz w:val="32"/>
          <w:szCs w:val="32"/>
        </w:rPr>
        <w:t>张。全院共开设59个诊疗科目，其中临床类47个，医技类12个。开放病区62个，其中院本部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31</w:t>
      </w:r>
      <w:r>
        <w:rPr>
          <w:rFonts w:hint="eastAsia" w:ascii="宋体" w:hAnsi="宋体" w:eastAsia="宋体" w:cs="宋体"/>
          <w:sz w:val="32"/>
          <w:szCs w:val="32"/>
        </w:rPr>
        <w:t>个、东院1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7</w:t>
      </w:r>
      <w:r>
        <w:rPr>
          <w:rFonts w:hint="eastAsia" w:ascii="宋体" w:hAnsi="宋体" w:eastAsia="宋体" w:cs="宋体"/>
          <w:sz w:val="32"/>
          <w:szCs w:val="32"/>
        </w:rPr>
        <w:t>个、南院1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sz w:val="32"/>
          <w:szCs w:val="32"/>
        </w:rPr>
        <w:t>个。</w:t>
      </w:r>
    </w:p>
    <w:p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（二）决算单位构成。</w:t>
      </w:r>
      <w:r>
        <w:rPr>
          <w:rFonts w:hint="eastAsia" w:ascii="宋体" w:hAnsi="宋体" w:eastAsia="宋体" w:cs="宋体"/>
          <w:i w:val="0"/>
          <w:iCs w:val="0"/>
          <w:color w:val="000000"/>
          <w:sz w:val="32"/>
          <w:szCs w:val="32"/>
          <w:highlight w:val="white"/>
          <w:lang w:eastAsia="zh-CN"/>
        </w:rPr>
        <w:t>本单位无独立核算的下属单位，</w:t>
      </w:r>
      <w:r>
        <w:rPr>
          <w:rFonts w:hint="eastAsia" w:ascii="宋体" w:hAnsi="宋体" w:eastAsia="宋体" w:cs="宋体"/>
          <w:i w:val="0"/>
          <w:iCs w:val="0"/>
          <w:color w:val="000000"/>
          <w:sz w:val="32"/>
          <w:szCs w:val="32"/>
          <w:highlight w:val="white"/>
          <w:lang w:val="en-US" w:eastAsia="zh-CN"/>
        </w:rPr>
        <w:t>2024年度部门决算汇总公开单位仅包括岳阳市中心医院单位本级</w:t>
      </w:r>
      <w:r>
        <w:rPr>
          <w:rFonts w:hint="eastAsia" w:ascii="宋体" w:hAnsi="宋体" w:eastAsia="宋体" w:cs="宋体"/>
          <w:i/>
          <w:iCs/>
          <w:color w:val="000000"/>
          <w:sz w:val="32"/>
          <w:szCs w:val="32"/>
          <w:highlight w:val="white"/>
        </w:rPr>
        <w:t>。</w:t>
      </w:r>
    </w:p>
    <w:p>
      <w:pPr>
        <w:jc w:val="left"/>
        <w:rPr>
          <w:rFonts w:ascii="仿宋_GB2312" w:eastAsia="仿宋_GB2312" w:hAnsiTheme="minorEastAsia"/>
          <w:sz w:val="28"/>
          <w:szCs w:val="32"/>
        </w:rPr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4"/>
      </w:pPr>
    </w:p>
    <w:p/>
    <w:p>
      <w:pPr>
        <w:pStyle w:val="7"/>
      </w:pPr>
    </w:p>
    <w:p>
      <w:pPr>
        <w:pStyle w:val="4"/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第二部分</w:t>
      </w: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部门决算表</w:t>
      </w:r>
    </w:p>
    <w:p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  <w:t>（见附件）</w:t>
      </w:r>
    </w:p>
    <w:p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both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第三部分</w:t>
      </w: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  <w:r>
        <w:rPr>
          <w:rFonts w:hint="eastAsia" w:ascii="方正小标宋_GBK" w:hAnsi="方正小标宋_GBK" w:eastAsia="方正小标宋_GBK" w:cs="方正小标宋_GBK"/>
          <w:sz w:val="70"/>
          <w:szCs w:val="70"/>
        </w:rPr>
        <w:t>202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val="en-US" w:eastAsia="zh-CN"/>
        </w:rPr>
        <w:t>4</w:t>
      </w:r>
      <w:r>
        <w:rPr>
          <w:rFonts w:hint="eastAsia" w:ascii="方正小标宋_GBK" w:hAnsi="方正小标宋_GBK" w:eastAsia="方正小标宋_GBK" w:cs="方正小标宋_GBK"/>
          <w:sz w:val="70"/>
          <w:szCs w:val="70"/>
        </w:rPr>
        <w:t>年度部门决算情况说明</w:t>
      </w: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>
      <w:pPr>
        <w:pStyle w:val="12"/>
        <w:jc w:val="both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>
      <w:pPr>
        <w:widowControl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说明：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</w:rPr>
        <w:t>由于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部门</w:t>
      </w:r>
      <w:r>
        <w:rPr>
          <w:rFonts w:hint="eastAsia" w:ascii="仿宋_GB2312" w:hAnsi="仿宋_GB2312" w:eastAsia="仿宋_GB2312" w:cs="仿宋_GB2312"/>
          <w:sz w:val="32"/>
          <w:szCs w:val="32"/>
        </w:rPr>
        <w:t>决算编制时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数据</w:t>
      </w:r>
      <w:r>
        <w:rPr>
          <w:rFonts w:hint="eastAsia" w:ascii="仿宋_GB2312" w:hAnsi="仿宋_GB2312" w:eastAsia="仿宋_GB2312" w:cs="仿宋_GB2312"/>
          <w:sz w:val="32"/>
          <w:szCs w:val="32"/>
        </w:rPr>
        <w:t>明细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至“金额单位：元</w:t>
      </w:r>
      <w:r>
        <w:rPr>
          <w:rFonts w:hint="eastAsia" w:ascii="仿宋_GB2312" w:hAnsi="仿宋_GB2312" w:eastAsia="仿宋_GB2312" w:cs="仿宋_GB2312"/>
          <w:sz w:val="32"/>
          <w:szCs w:val="32"/>
        </w:rPr>
        <w:t>”，而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本套部门决算文字说明</w:t>
      </w:r>
      <w:r>
        <w:rPr>
          <w:rFonts w:hint="eastAsia" w:ascii="仿宋_GB2312" w:hAnsi="仿宋_GB2312" w:eastAsia="仿宋_GB2312" w:cs="仿宋_GB2312"/>
          <w:sz w:val="32"/>
          <w:szCs w:val="32"/>
        </w:rPr>
        <w:t>和公开表格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数据</w:t>
      </w:r>
      <w:r>
        <w:rPr>
          <w:rFonts w:hint="eastAsia" w:ascii="仿宋_GB2312" w:hAnsi="仿宋_GB2312" w:eastAsia="仿宋_GB2312" w:cs="仿宋_GB2312"/>
          <w:sz w:val="32"/>
          <w:szCs w:val="32"/>
        </w:rPr>
        <w:t>取数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转换为</w:t>
      </w:r>
      <w:r>
        <w:rPr>
          <w:rFonts w:hint="eastAsia" w:ascii="仿宋_GB2312" w:hAnsi="仿宋_GB2312" w:eastAsia="仿宋_GB2312" w:cs="仿宋_GB2312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金额单位：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万元”，可能导致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以下文字说明中的各项数据取数以及公开</w:t>
      </w:r>
      <w:r>
        <w:rPr>
          <w:rFonts w:hint="eastAsia" w:ascii="仿宋_GB2312" w:hAnsi="仿宋_GB2312" w:eastAsia="仿宋_GB2312" w:cs="仿宋_GB2312"/>
          <w:sz w:val="32"/>
          <w:szCs w:val="32"/>
        </w:rPr>
        <w:t>表格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中的各项数据取数之间存在</w:t>
      </w:r>
      <w:r>
        <w:rPr>
          <w:rFonts w:hint="eastAsia" w:ascii="仿宋_GB2312" w:hAnsi="仿宋_GB2312" w:eastAsia="仿宋_GB2312" w:cs="仿宋_GB2312"/>
          <w:sz w:val="32"/>
          <w:szCs w:val="32"/>
        </w:rPr>
        <w:t>0.01的尾数差异。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2、以下文字说明中，部分科目由于预算数为0，无法计算完成年初预算的百分比，故未描述“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完成年初预算的XX%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”。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一、收入支出决算总体情况说明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年度收、支总计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207549.86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万元。与上年相比，减少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10213.54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4.69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财政拨款减少。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二、收入决算情况说明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年度收入合计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181842.33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万元，其中：财政拨款收入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2816.1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1.55</w:t>
      </w:r>
      <w:r>
        <w:rPr>
          <w:rFonts w:hint="eastAsia" w:ascii="仿宋_GB2312" w:hAnsi="仿宋_GB2312" w:eastAsia="仿宋_GB2312" w:cs="仿宋_GB2312"/>
          <w:sz w:val="32"/>
          <w:szCs w:val="32"/>
        </w:rPr>
        <w:t>%；上级补助收入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%；事业收入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177807.93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97.78</w:t>
      </w:r>
      <w:r>
        <w:rPr>
          <w:rFonts w:hint="eastAsia" w:ascii="仿宋_GB2312" w:hAnsi="仿宋_GB2312" w:eastAsia="仿宋_GB2312" w:cs="仿宋_GB2312"/>
          <w:sz w:val="32"/>
          <w:szCs w:val="32"/>
        </w:rPr>
        <w:t>%；经营收入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%；附属单位上缴收入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%；其他收入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1218.3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0.67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三、支出决算情况说明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年度支出合计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190424.11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177567.12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93.25</w:t>
      </w:r>
      <w:r>
        <w:rPr>
          <w:rFonts w:hint="eastAsia" w:ascii="仿宋_GB2312" w:hAnsi="仿宋_GB2312" w:eastAsia="仿宋_GB2312" w:cs="仿宋_GB2312"/>
          <w:sz w:val="32"/>
          <w:szCs w:val="32"/>
        </w:rPr>
        <w:t>%；项目支出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12856.99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6.75</w:t>
      </w:r>
      <w:r>
        <w:rPr>
          <w:rFonts w:hint="eastAsia" w:ascii="仿宋_GB2312" w:hAnsi="仿宋_GB2312" w:eastAsia="仿宋_GB2312" w:cs="仿宋_GB2312"/>
          <w:sz w:val="32"/>
          <w:szCs w:val="32"/>
        </w:rPr>
        <w:t>%；上缴上级支出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%；经营支出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%；对附属单位补助支出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四、财政拨款收入支出决算总体情况说明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年度财政拨款收、支总计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28523.63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万元，与上年相比，减少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12465.69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万元,减少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30.41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2023年中央补助10600万元用于岳阳市中心医院一期项目（肿瘤中心）建设款。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五、一般公共预算财政拨款支出决算情况说明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（一）一般公共预算财政拨款支出决算总体情况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i/>
          <w:iCs/>
          <w:color w:val="FF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13618.23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万元，占本年支出合计的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7.15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%，与上年相比，财政拨款支出减少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1663.56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10.89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项目支出减少。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（二）一般公共预算财政拨款支出决算结构情况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13618.23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万元，主要用于以下方面：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科学技术</w:t>
      </w:r>
      <w:r>
        <w:rPr>
          <w:rFonts w:hint="eastAsia" w:ascii="仿宋_GB2312" w:hAnsi="仿宋_GB2312" w:eastAsia="仿宋_GB2312" w:cs="仿宋_GB2312"/>
          <w:sz w:val="32"/>
          <w:szCs w:val="32"/>
        </w:rPr>
        <w:t>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70.39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0.52</w:t>
      </w:r>
      <w:r>
        <w:rPr>
          <w:rFonts w:hint="eastAsia" w:ascii="仿宋_GB2312" w:hAnsi="仿宋_GB2312" w:eastAsia="仿宋_GB2312" w:cs="仿宋_GB2312"/>
          <w:sz w:val="32"/>
          <w:szCs w:val="32"/>
        </w:rPr>
        <w:t>%；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社会保障和就业</w:t>
      </w:r>
      <w:r>
        <w:rPr>
          <w:rFonts w:hint="eastAsia" w:ascii="仿宋_GB2312" w:hAnsi="仿宋_GB2312" w:eastAsia="仿宋_GB2312" w:cs="仿宋_GB2312"/>
          <w:sz w:val="32"/>
          <w:szCs w:val="32"/>
        </w:rPr>
        <w:t>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11.26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0.08</w:t>
      </w:r>
      <w:r>
        <w:rPr>
          <w:rFonts w:hint="eastAsia" w:ascii="仿宋_GB2312" w:hAnsi="仿宋_GB2312" w:eastAsia="仿宋_GB2312" w:cs="仿宋_GB2312"/>
          <w:sz w:val="32"/>
          <w:szCs w:val="32"/>
        </w:rPr>
        <w:t>%;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卫生健康支出13536.58万元，99.4占%。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（三）一般公共预算财政拨款支出决算具体情况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年度财政拨款支出年初预算数为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13630.95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万元，支出决算数为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13618.23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99.91</w:t>
      </w:r>
      <w:r>
        <w:rPr>
          <w:rFonts w:hint="eastAsia" w:ascii="仿宋_GB2312" w:hAnsi="仿宋_GB2312" w:eastAsia="仿宋_GB2312" w:cs="仿宋_GB2312"/>
          <w:sz w:val="32"/>
          <w:szCs w:val="32"/>
        </w:rPr>
        <w:t>%，其中：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1、一般公共服务（类）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基础研究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自然科学基金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41.08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41.08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%，决算数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等于</w:t>
      </w:r>
      <w:r>
        <w:rPr>
          <w:rFonts w:hint="eastAsia" w:ascii="仿宋_GB2312" w:hAnsi="仿宋_GB2312" w:eastAsia="仿宋_GB2312" w:cs="仿宋_GB2312"/>
          <w:sz w:val="32"/>
          <w:szCs w:val="32"/>
        </w:rPr>
        <w:t>年初预算数的主要原因是：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合理开支。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2、一般公共服务（类）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基础研究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其他基础研究支出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%，决算数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等于</w:t>
      </w:r>
      <w:r>
        <w:rPr>
          <w:rFonts w:hint="eastAsia" w:ascii="仿宋_GB2312" w:hAnsi="仿宋_GB2312" w:eastAsia="仿宋_GB2312" w:cs="仿宋_GB2312"/>
          <w:sz w:val="32"/>
          <w:szCs w:val="32"/>
        </w:rPr>
        <w:t>年初预算数的主要原因是：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合理开支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、一般公共服务（类）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其他科学技术支出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其他科学技术支出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26.91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26.91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%，决算数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等于</w:t>
      </w:r>
      <w:r>
        <w:rPr>
          <w:rFonts w:hint="eastAsia" w:ascii="仿宋_GB2312" w:hAnsi="仿宋_GB2312" w:eastAsia="仿宋_GB2312" w:cs="仿宋_GB2312"/>
          <w:sz w:val="32"/>
          <w:szCs w:val="32"/>
        </w:rPr>
        <w:t>年初预算数的主要原因是：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合理开支。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、一般公共服务（类）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临时救助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流浪乞讨人员救助支出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10.06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10.06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%，决算数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等于</w:t>
      </w:r>
      <w:r>
        <w:rPr>
          <w:rFonts w:hint="eastAsia" w:ascii="仿宋_GB2312" w:hAnsi="仿宋_GB2312" w:eastAsia="仿宋_GB2312" w:cs="仿宋_GB2312"/>
          <w:sz w:val="32"/>
          <w:szCs w:val="32"/>
        </w:rPr>
        <w:t>年初预算数的主要原因是：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合理开支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、一般公共服务（类）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其他社会保障和就业支出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其他社会保障和就业支出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%，决算数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等于</w:t>
      </w:r>
      <w:r>
        <w:rPr>
          <w:rFonts w:hint="eastAsia" w:ascii="仿宋_GB2312" w:hAnsi="仿宋_GB2312" w:eastAsia="仿宋_GB2312" w:cs="仿宋_GB2312"/>
          <w:sz w:val="32"/>
          <w:szCs w:val="32"/>
        </w:rPr>
        <w:t>年初预算数的主要原因是：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合理开支。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、一般公共服务（类）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公立医院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综合医院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1590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1588.84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99.93</w:t>
      </w:r>
      <w:r>
        <w:rPr>
          <w:rFonts w:hint="eastAsia" w:ascii="仿宋_GB2312" w:hAnsi="仿宋_GB2312" w:eastAsia="仿宋_GB2312" w:cs="仿宋_GB2312"/>
          <w:sz w:val="32"/>
          <w:szCs w:val="32"/>
        </w:rPr>
        <w:t>%，决算数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小余</w:t>
      </w:r>
      <w:r>
        <w:rPr>
          <w:rFonts w:hint="eastAsia" w:ascii="仿宋_GB2312" w:hAnsi="仿宋_GB2312" w:eastAsia="仿宋_GB2312" w:cs="仿宋_GB2312"/>
          <w:sz w:val="32"/>
          <w:szCs w:val="32"/>
        </w:rPr>
        <w:t>年初预算数的主要原因是：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用于综合医院支出减少。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、一般公共服务（类）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公立医院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其他公立医院支出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3410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3408.24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99.95</w:t>
      </w:r>
      <w:r>
        <w:rPr>
          <w:rFonts w:hint="eastAsia" w:ascii="仿宋_GB2312" w:hAnsi="仿宋_GB2312" w:eastAsia="仿宋_GB2312" w:cs="仿宋_GB2312"/>
          <w:sz w:val="32"/>
          <w:szCs w:val="32"/>
        </w:rPr>
        <w:t>%，决算数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小余</w:t>
      </w:r>
      <w:r>
        <w:rPr>
          <w:rFonts w:hint="eastAsia" w:ascii="仿宋_GB2312" w:hAnsi="仿宋_GB2312" w:eastAsia="仿宋_GB2312" w:cs="仿宋_GB2312"/>
          <w:sz w:val="32"/>
          <w:szCs w:val="32"/>
        </w:rPr>
        <w:t>年初预算数的主要原因是：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用于其他公立医院支出项目减少。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、一般公共服务（类）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公共卫生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重大公共卫生服务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1035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1029.2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99.44</w:t>
      </w:r>
      <w:r>
        <w:rPr>
          <w:rFonts w:hint="eastAsia" w:ascii="仿宋_GB2312" w:hAnsi="仿宋_GB2312" w:eastAsia="仿宋_GB2312" w:cs="仿宋_GB2312"/>
          <w:sz w:val="32"/>
          <w:szCs w:val="32"/>
        </w:rPr>
        <w:t>%，决算数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小余</w:t>
      </w:r>
      <w:r>
        <w:rPr>
          <w:rFonts w:hint="eastAsia" w:ascii="仿宋_GB2312" w:hAnsi="仿宋_GB2312" w:eastAsia="仿宋_GB2312" w:cs="仿宋_GB2312"/>
          <w:sz w:val="32"/>
          <w:szCs w:val="32"/>
        </w:rPr>
        <w:t>年初预算数的主要原因是：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用于重大公共卫生服务支出减少。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、一般公共服务（类）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公共卫生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突发公共卫生事件应急处理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1515.71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1515.71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%，决算数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等于</w:t>
      </w:r>
      <w:r>
        <w:rPr>
          <w:rFonts w:hint="eastAsia" w:ascii="仿宋_GB2312" w:hAnsi="仿宋_GB2312" w:eastAsia="仿宋_GB2312" w:cs="仿宋_GB2312"/>
          <w:sz w:val="32"/>
          <w:szCs w:val="32"/>
        </w:rPr>
        <w:t>年初预算数的主要原因是：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合理开支。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、一般公共服务（类）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公共卫生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其他公共卫生支出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506.61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502.61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99.21</w:t>
      </w:r>
      <w:r>
        <w:rPr>
          <w:rFonts w:hint="eastAsia" w:ascii="仿宋_GB2312" w:hAnsi="仿宋_GB2312" w:eastAsia="仿宋_GB2312" w:cs="仿宋_GB2312"/>
          <w:sz w:val="32"/>
          <w:szCs w:val="32"/>
        </w:rPr>
        <w:t>%，决算数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小余余</w:t>
      </w:r>
      <w:r>
        <w:rPr>
          <w:rFonts w:hint="eastAsia" w:ascii="仿宋_GB2312" w:hAnsi="仿宋_GB2312" w:eastAsia="仿宋_GB2312" w:cs="仿宋_GB2312"/>
          <w:sz w:val="32"/>
          <w:szCs w:val="32"/>
        </w:rPr>
        <w:t>年初预算数的主要原因是：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其他公共卫生支出减少。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、一般公共服务（类）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21017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2101704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0.44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0.44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%，决算数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等余</w:t>
      </w:r>
      <w:r>
        <w:rPr>
          <w:rFonts w:hint="eastAsia" w:ascii="仿宋_GB2312" w:hAnsi="仿宋_GB2312" w:eastAsia="仿宋_GB2312" w:cs="仿宋_GB2312"/>
          <w:sz w:val="32"/>
          <w:szCs w:val="32"/>
        </w:rPr>
        <w:t>年初预算数的主要原因是：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合理开支。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、一般公共服务（类）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其他卫生健康支出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其他卫生健康支出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5491.54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5491.54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%，决算数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等余</w:t>
      </w:r>
      <w:r>
        <w:rPr>
          <w:rFonts w:hint="eastAsia" w:ascii="仿宋_GB2312" w:hAnsi="仿宋_GB2312" w:eastAsia="仿宋_GB2312" w:cs="仿宋_GB2312"/>
          <w:sz w:val="32"/>
          <w:szCs w:val="32"/>
        </w:rPr>
        <w:t>年初预算数的主要原因是：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合理开支。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六、一般公共预算财政拨款基本支出决算情况说明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一般公共预算</w:t>
      </w:r>
      <w:r>
        <w:rPr>
          <w:rFonts w:hint="eastAsia" w:ascii="仿宋_GB2312" w:hAnsi="仿宋_GB2312" w:eastAsia="仿宋_GB2312" w:cs="仿宋_GB2312"/>
          <w:sz w:val="32"/>
          <w:szCs w:val="32"/>
        </w:rPr>
        <w:t>财政拨款基本支出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761.24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人员经费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761.24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万元，占基本支出的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%,主要包括基本工资、津贴补贴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公用经费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万元，占基本支出的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七、政府性基金预算收入支出决算情况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textAlignment w:val="auto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年度政府性基金预算财政拨款收入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万元；年初结转和结余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万元，项目支出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万元；年末结转和结余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-SA"/>
        </w:rPr>
        <w:t>八、国有资本经营预算财政拨款支出决算情况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  <w:t>2024年度国有资本经营预算财政拨款收入0万元；年初结转和结余0万；支出0万元，</w:t>
      </w:r>
      <w:r>
        <w:rPr>
          <w:rFonts w:hint="eastAsia" w:ascii="仿宋_GB2312" w:hAnsi="仿宋_GB2312" w:eastAsia="仿宋_GB2312" w:cs="仿宋_GB2312"/>
          <w:i w:val="0"/>
          <w:iCs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其中：基本支出0万元，项目支出0万元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  <w:t>；年末结转和结余0万元。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eastAsia="zh-CN"/>
        </w:rPr>
        <w:t>九、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财政拨款三公经费支出决算情况说明</w:t>
      </w:r>
    </w:p>
    <w:p>
      <w:pPr>
        <w:pStyle w:val="12"/>
        <w:overflowPunct w:val="0"/>
        <w:autoSpaceDE/>
        <w:autoSpaceDN/>
        <w:spacing w:line="600" w:lineRule="exact"/>
        <w:ind w:firstLine="640" w:firstLineChars="200"/>
        <w:jc w:val="both"/>
        <w:rPr>
          <w:rFonts w:ascii="Times New Roman" w:hAnsi="Times New Roman" w:eastAsia="楷体_GB2312" w:cs="Times New Roman"/>
          <w:b/>
          <w:sz w:val="32"/>
          <w:szCs w:val="32"/>
        </w:rPr>
      </w:pPr>
      <w:r>
        <w:rPr>
          <w:rFonts w:ascii="Times New Roman" w:hAnsi="Times New Roman" w:eastAsia="楷体_GB2312" w:cs="Times New Roman"/>
          <w:b/>
          <w:sz w:val="32"/>
          <w:szCs w:val="32"/>
        </w:rPr>
        <w:t>（一）</w:t>
      </w:r>
      <w:r>
        <w:rPr>
          <w:rFonts w:hint="eastAsia" w:ascii="Times New Roman" w:hAnsi="Times New Roman" w:eastAsia="楷体_GB2312" w:cs="Times New Roman"/>
          <w:b/>
          <w:sz w:val="32"/>
          <w:szCs w:val="32"/>
          <w:lang w:eastAsia="zh-CN"/>
        </w:rPr>
        <w:t>“三公”</w:t>
      </w:r>
      <w:r>
        <w:rPr>
          <w:rFonts w:ascii="Times New Roman" w:hAnsi="Times New Roman" w:eastAsia="楷体_GB2312" w:cs="Times New Roman"/>
          <w:b/>
          <w:sz w:val="32"/>
          <w:szCs w:val="32"/>
        </w:rPr>
        <w:t>经费财政拨款支出决算总体情况说明</w:t>
      </w:r>
    </w:p>
    <w:p>
      <w:pPr>
        <w:pStyle w:val="12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2024年度“三公”经费财政拨款支出预算为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万元，支出决算为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决算数等于预算数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，主要原因是我单位严格按预算执行决算；与上年一致，无增减变动，主要原因是按有关政策厉行节约，严控“三公经费”支出。</w:t>
      </w:r>
    </w:p>
    <w:p>
      <w:pPr>
        <w:pStyle w:val="12"/>
        <w:overflowPunct w:val="0"/>
        <w:autoSpaceDE/>
        <w:autoSpaceDN/>
        <w:spacing w:line="600" w:lineRule="exact"/>
        <w:ind w:firstLine="640" w:firstLineChars="200"/>
        <w:jc w:val="both"/>
        <w:rPr>
          <w:rFonts w:ascii="Times New Roman" w:hAnsi="Times New Roman" w:eastAsia="楷体_GB2312" w:cs="Times New Roman"/>
          <w:b/>
          <w:sz w:val="32"/>
          <w:szCs w:val="32"/>
        </w:rPr>
      </w:pPr>
      <w:r>
        <w:rPr>
          <w:rFonts w:ascii="Times New Roman" w:hAnsi="Times New Roman" w:eastAsia="楷体_GB2312" w:cs="Times New Roman"/>
          <w:b/>
          <w:sz w:val="32"/>
          <w:szCs w:val="32"/>
        </w:rPr>
        <w:t>（二）</w:t>
      </w:r>
      <w:r>
        <w:rPr>
          <w:rFonts w:hint="eastAsia" w:ascii="Times New Roman" w:hAnsi="Times New Roman" w:eastAsia="楷体_GB2312" w:cs="Times New Roman"/>
          <w:b/>
          <w:sz w:val="32"/>
          <w:szCs w:val="32"/>
          <w:lang w:eastAsia="zh-CN"/>
        </w:rPr>
        <w:t>“三公”</w:t>
      </w:r>
      <w:r>
        <w:rPr>
          <w:rFonts w:ascii="Times New Roman" w:hAnsi="Times New Roman" w:eastAsia="楷体_GB2312" w:cs="Times New Roman"/>
          <w:b/>
          <w:sz w:val="32"/>
          <w:szCs w:val="32"/>
        </w:rPr>
        <w:t>经费财政拨款支出决算具体情况说明</w:t>
      </w:r>
    </w:p>
    <w:p>
      <w:pPr>
        <w:pStyle w:val="12"/>
        <w:overflowPunct w:val="0"/>
        <w:autoSpaceDE/>
        <w:autoSpaceDN/>
        <w:spacing w:line="600" w:lineRule="exact"/>
        <w:ind w:firstLine="640" w:firstLineChars="200"/>
        <w:jc w:val="both"/>
        <w:rPr>
          <w:rFonts w:ascii="Times New Roman" w:hAnsi="Times New Roman" w:eastAsia="楷体" w:cs="Times New Roman"/>
          <w:b/>
          <w:bCs/>
          <w:i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1.因公出国（境）费支出预算为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sz w:val="32"/>
          <w:szCs w:val="32"/>
        </w:rPr>
        <w:t>万元，支出决算为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sz w:val="32"/>
          <w:szCs w:val="32"/>
        </w:rPr>
        <w:t>万元，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决算数等于预算数，主要原因是我单位严格按预算执行决算；与上年一致，无增减变动，主要原因是未安排因公出国（境）活动。2024年度安排因公出国（境）团组0个，累计0人次。</w:t>
      </w:r>
    </w:p>
    <w:p>
      <w:pPr>
        <w:pStyle w:val="12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2.公务用车购置费及运行维护费支出预算为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sz w:val="32"/>
          <w:szCs w:val="32"/>
        </w:rPr>
        <w:t>万元，支出决算为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sz w:val="32"/>
          <w:szCs w:val="32"/>
        </w:rPr>
        <w:t>万元，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决算数等于预算数；与上年一致，无增减变动。其中：</w:t>
      </w:r>
    </w:p>
    <w:p>
      <w:pPr>
        <w:pStyle w:val="12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公务用车购置费支出预算为0万元，支出决算为0万元，决算数等于预算数，主要原因是我单位严格按预算执行决算；与上年一致，无增减变动，主要原因是两年均未购置公务用车。本耽误更新公务用车0辆。</w:t>
      </w:r>
    </w:p>
    <w:p>
      <w:pPr>
        <w:pStyle w:val="12"/>
        <w:overflowPunct w:val="0"/>
        <w:autoSpaceDE/>
        <w:autoSpaceDN/>
        <w:spacing w:line="600" w:lineRule="exact"/>
        <w:ind w:firstLine="640" w:firstLineChars="200"/>
        <w:jc w:val="both"/>
        <w:rPr>
          <w:rFonts w:ascii="Times New Roman" w:hAnsi="Times New Roman" w:eastAsia="楷体" w:cs="Times New Roman"/>
          <w:b/>
          <w:bCs/>
          <w:i/>
          <w:color w:val="FF0000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公务用车运行维护费支出预算为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sz w:val="32"/>
          <w:szCs w:val="32"/>
        </w:rPr>
        <w:t>万元，支出决算为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sz w:val="32"/>
          <w:szCs w:val="32"/>
        </w:rPr>
        <w:t>万元，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决算数等于预算数，主要原因是我耽误严格按预算执行决算；与上年一致，无增减变动，主要原因是两年均无公务用车需要运行维护。</w:t>
      </w: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截止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到</w:t>
      </w:r>
      <w:r>
        <w:rPr>
          <w:rFonts w:ascii="Times New Roman" w:hAnsi="Times New Roman" w:eastAsia="仿宋_GB2312" w:cs="Times New Roman"/>
          <w:sz w:val="32"/>
          <w:szCs w:val="32"/>
        </w:rPr>
        <w:t>2024年12月31日，我单位开支财政拨款的公务用车保有量为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sz w:val="32"/>
          <w:szCs w:val="32"/>
        </w:rPr>
        <w:t>辆。</w:t>
      </w:r>
    </w:p>
    <w:p>
      <w:pPr>
        <w:numPr>
          <w:ilvl w:val="0"/>
          <w:numId w:val="2"/>
        </w:numPr>
        <w:ind w:firstLine="640" w:firstLineChars="200"/>
        <w:rPr>
          <w:rFonts w:hint="eastAsia" w:ascii="Times New Roman" w:hAnsi="Times New Roman" w:eastAsia="仿宋_GB2312"/>
          <w:b/>
          <w:color w:val="auto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公务接待费支出预算为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sz w:val="32"/>
          <w:szCs w:val="32"/>
        </w:rPr>
        <w:t>万元，支出决算为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sz w:val="32"/>
          <w:szCs w:val="32"/>
        </w:rPr>
        <w:t>万元，决算数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等于</w:t>
      </w:r>
      <w:r>
        <w:rPr>
          <w:rFonts w:ascii="Times New Roman" w:hAnsi="Times New Roman" w:eastAsia="仿宋_GB2312" w:cs="Times New Roman"/>
          <w:sz w:val="32"/>
          <w:szCs w:val="32"/>
        </w:rPr>
        <w:t>预算数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主要原因是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严格执行中央八项规定；与上年一致，无增减变动，主要原因是按有关政策厉行节约，严控公务接待支出。</w:t>
      </w:r>
      <w:r>
        <w:rPr>
          <w:rFonts w:ascii="Times New Roman" w:hAnsi="Times New Roman" w:eastAsia="仿宋_GB2312" w:cs="Times New Roman"/>
          <w:sz w:val="32"/>
          <w:szCs w:val="32"/>
        </w:rPr>
        <w:t>。2024年度共接待来访团组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sz w:val="32"/>
          <w:szCs w:val="32"/>
        </w:rPr>
        <w:t>个、来宾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sz w:val="32"/>
          <w:szCs w:val="32"/>
        </w:rPr>
        <w:t>人次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b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b/>
          <w:color w:val="auto"/>
          <w:sz w:val="32"/>
          <w:szCs w:val="32"/>
          <w:lang w:eastAsia="zh-CN"/>
        </w:rPr>
        <w:t>十</w:t>
      </w:r>
      <w:r>
        <w:rPr>
          <w:rFonts w:hint="eastAsia" w:ascii="Times New Roman" w:hAnsi="Times New Roman" w:eastAsia="仿宋_GB2312"/>
          <w:b/>
          <w:color w:val="auto"/>
          <w:sz w:val="32"/>
          <w:szCs w:val="32"/>
        </w:rPr>
        <w:t>、关于机关运行经费支出说明</w:t>
      </w:r>
    </w:p>
    <w:p>
      <w:pPr>
        <w:pStyle w:val="12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本部门202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年度机关运行经费支出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本级和所属单位均为事业单位，按照机关运行经费的口径，本年度机关运行经费为0</w:t>
      </w:r>
      <w:r>
        <w:rPr>
          <w:rFonts w:hint="eastAsia" w:ascii="楷体" w:hAnsi="楷体" w:eastAsia="楷体" w:cs="楷体"/>
          <w:sz w:val="32"/>
          <w:szCs w:val="32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十</w:t>
      </w:r>
      <w:r>
        <w:rPr>
          <w:rFonts w:hint="eastAsia" w:hAnsi="黑体" w:cs="黑体"/>
          <w:b w:val="0"/>
          <w:bCs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、一般性支出情况说明</w:t>
      </w:r>
    </w:p>
    <w:p>
      <w:pPr>
        <w:pStyle w:val="12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年度，本单位无会议费分预算和支出决算数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widowControl w:val="0"/>
        <w:autoSpaceDE w:val="0"/>
        <w:autoSpaceDN w:val="0"/>
        <w:adjustRightInd w:val="0"/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培训费年初预算235万元，支出决算为234.65万元，完成年初预算的99.85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%。用于开展医疗新技术进修学习培训，人数546人，内容为进修、学习及培训。</w:t>
      </w:r>
    </w:p>
    <w:p>
      <w:pPr>
        <w:widowControl w:val="0"/>
        <w:autoSpaceDE w:val="0"/>
        <w:autoSpaceDN w:val="0"/>
        <w:adjustRightInd w:val="0"/>
        <w:ind w:firstLine="640" w:firstLineChars="200"/>
        <w:rPr>
          <w:rFonts w:hint="eastAsia" w:ascii="楷体" w:hAnsi="楷体" w:eastAsia="楷体" w:cs="楷体"/>
          <w:b/>
          <w:bCs/>
          <w:i w:val="0"/>
          <w:iCs w:val="0"/>
          <w:color w:val="FF0000"/>
          <w:kern w:val="0"/>
          <w:sz w:val="40"/>
          <w:szCs w:val="4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举办节庆、晚会、论坛、赛事活动年初预算0万元，支出决算为0万元，主要是本耽误无举办节庆、晚会、论坛、赛事等活动的预算和支出决算数。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十</w:t>
      </w:r>
      <w:r>
        <w:rPr>
          <w:rFonts w:hint="eastAsia" w:hAnsi="黑体" w:cs="黑体"/>
          <w:b w:val="0"/>
          <w:bCs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、关于政府采购支出说明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本部门202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年度政府采购支出总额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21515.86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万元，其中：政府采购货物支出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3009.4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万元、政府采购工程支出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13751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万元、政府采购服务支出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4755.46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授予中小企业合同金额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（由于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政府采购支出总额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0，故无法计算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占政府采购支出总额的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比重）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，其中：授予小微企业合同金额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（由于授予中小企业合同金额为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0，故无法计算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占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授予中小企业合同金额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比重）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。货物采购授予中小企业合同金额占货物支出金额的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比重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，工程采购授予中小企业合同金额占工程支出金额的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比重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，服务采购授予中小企业合同金额占服务支出金额的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比重，由于以上各项合同金额为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0，故无法计算各项占比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十</w:t>
      </w:r>
      <w:r>
        <w:rPr>
          <w:rFonts w:hint="eastAsia" w:hAnsi="黑体" w:cs="黑体"/>
          <w:b w:val="0"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、关于国有资产占用情况说明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截至202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年12月31日，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部门（单位）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共有车辆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辆，其中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，副部（省）级及以上领导用车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主要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负责人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机要通信用车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辆、应急保障用车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辆、执法执勤用车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辆、特种专业技术用车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离退休干部服务用车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辆、其他用车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辆，单位价值100万元以上设备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（不含车辆）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151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台（套）。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</w:rPr>
        <w:t>十</w:t>
      </w:r>
      <w:r>
        <w:rPr>
          <w:rFonts w:hint="eastAsia" w:hAnsi="黑体" w:cs="黑体"/>
          <w:b w:val="0"/>
          <w:bCs/>
          <w:color w:val="auto"/>
          <w:sz w:val="32"/>
          <w:szCs w:val="32"/>
          <w:highlight w:val="none"/>
          <w:lang w:eastAsia="zh-CN"/>
        </w:rPr>
        <w:t>四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</w:rPr>
        <w:t>、关于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202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</w:rPr>
        <w:t>年度</w:t>
      </w:r>
      <w:r>
        <w:rPr>
          <w:rFonts w:hint="eastAsia" w:hAnsi="黑体" w:cs="黑体"/>
          <w:b w:val="0"/>
          <w:bCs/>
          <w:color w:val="auto"/>
          <w:sz w:val="32"/>
          <w:szCs w:val="32"/>
          <w:highlight w:val="none"/>
          <w:lang w:eastAsia="zh-CN"/>
        </w:rPr>
        <w:t>预算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</w:rPr>
        <w:t>绩效</w:t>
      </w:r>
      <w:r>
        <w:rPr>
          <w:rFonts w:hint="eastAsia" w:hAnsi="黑体" w:cs="黑体"/>
          <w:b w:val="0"/>
          <w:bCs/>
          <w:color w:val="auto"/>
          <w:sz w:val="32"/>
          <w:szCs w:val="32"/>
          <w:highlight w:val="none"/>
          <w:lang w:eastAsia="zh-CN"/>
        </w:rPr>
        <w:t>管理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</w:rPr>
        <w:t>情况的说明</w:t>
      </w:r>
    </w:p>
    <w:p>
      <w:pPr>
        <w:overflowPunct w:val="0"/>
        <w:spacing w:line="600" w:lineRule="exact"/>
        <w:ind w:firstLine="640" w:firstLineChars="200"/>
        <w:rPr>
          <w:rFonts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（一）绩效评价工作开展情况</w:t>
      </w:r>
    </w:p>
    <w:p>
      <w:pPr>
        <w:overflowPunct w:val="0"/>
        <w:spacing w:line="60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val="en-US" w:eastAsia="zh-CN"/>
        </w:rPr>
        <w:t>绩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效自评开展情况。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组织对2024年度本部门（单位）整体支出开展绩效自评，涉及项目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7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个，共涉及资金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190424.11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万元。其中，一般公共预算项目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120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万元，占一般公共预算支出总额的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%；政府性基金预算项目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万元，占政府性基金预算支出总额的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%；国有资本经营预算项目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万元，占国有资本经营预算支出总额的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%；</w:t>
      </w:r>
      <w:r>
        <w:rPr>
          <w:rFonts w:ascii="Times New Roman" w:hAnsi="Times New Roman" w:eastAsia="仿宋_GB2312" w:cs="Times New Roman"/>
          <w:kern w:val="0"/>
          <w:sz w:val="32"/>
          <w:szCs w:val="32"/>
          <w:highlight w:val="none"/>
        </w:rPr>
        <w:t>社会保险基金预算项目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  <w:highlight w:val="none"/>
        </w:rPr>
        <w:t xml:space="preserve"> 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  <w:highlight w:val="none"/>
        </w:rPr>
        <w:t>万元，占社会保险基金预算支出总额的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  <w:highlight w:val="none"/>
        </w:rPr>
        <w:t>%。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从评价情况来看，本单位自评综合评分100分，评价结果等次为优。</w:t>
      </w:r>
    </w:p>
    <w:p>
      <w:pPr>
        <w:pStyle w:val="7"/>
      </w:pPr>
    </w:p>
    <w:p>
      <w:pPr>
        <w:numPr>
          <w:ilvl w:val="0"/>
          <w:numId w:val="3"/>
        </w:numPr>
        <w:overflowPunct w:val="0"/>
        <w:spacing w:line="60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部门评价开展情况。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本单位为二级预算单位，部门评价开展情况可详见上级部门决算公开说明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。</w:t>
      </w:r>
    </w:p>
    <w:p>
      <w:pPr>
        <w:numPr>
          <w:ilvl w:val="0"/>
          <w:numId w:val="0"/>
        </w:numPr>
        <w:overflowPunct w:val="0"/>
        <w:spacing w:line="600" w:lineRule="exact"/>
        <w:rPr>
          <w:rFonts w:ascii="Times New Roman" w:hAnsi="Times New Roman" w:eastAsia="楷体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 xml:space="preserve">    3.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事前绩效评估开展情况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本单位为二级预算单位，事前绩效评估开展情况可详见上级部门决算公开说明。</w:t>
      </w:r>
    </w:p>
    <w:p>
      <w:pPr>
        <w:overflowPunct w:val="0"/>
        <w:spacing w:line="600" w:lineRule="exact"/>
        <w:ind w:firstLine="640" w:firstLineChars="200"/>
        <w:rPr>
          <w:rFonts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（二）绩效评价结果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1.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绩效自评结果。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2024年度本部门（单位）整体支出</w:t>
      </w:r>
      <w:r>
        <w:rPr>
          <w:rFonts w:ascii="Times New Roman" w:hAnsi="Times New Roman" w:eastAsia="仿宋_GB2312" w:cs="Times New Roman"/>
          <w:sz w:val="32"/>
          <w:szCs w:val="32"/>
        </w:rPr>
        <w:t>全年预算数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1018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1018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，绩效自评得分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分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，评价等级为</w:t>
      </w:r>
      <w:r>
        <w:rPr>
          <w:rFonts w:ascii="Times New Roman" w:hAnsi="Times New Roman" w:eastAsia="仿宋_GB2312" w:cs="Times New Roman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优</w:t>
      </w:r>
      <w:r>
        <w:rPr>
          <w:rFonts w:ascii="Times New Roman" w:hAnsi="Times New Roman" w:eastAsia="仿宋_GB2312" w:cs="Times New Roman"/>
          <w:sz w:val="32"/>
          <w:szCs w:val="32"/>
        </w:rPr>
        <w:t>”。绩效目标完成情况：一是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定额补助642万元，主要用于医院正常运行的医务人员工资补贴</w:t>
      </w:r>
      <w:r>
        <w:rPr>
          <w:rFonts w:ascii="Times New Roman" w:hAnsi="Times New Roman" w:eastAsia="仿宋_GB2312" w:cs="Times New Roman"/>
          <w:sz w:val="32"/>
          <w:szCs w:val="32"/>
        </w:rPr>
        <w:t>；二是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艾滋病专项资金120万元，主要用于艾滋病患者的救治；三是非税收入256万元为学生的培训费及停车收费收入，主要用于改善学生的住宿环境及停车场的维修与管理</w:t>
      </w:r>
      <w:r>
        <w:rPr>
          <w:rFonts w:ascii="Times New Roman" w:hAnsi="Times New Roman" w:eastAsia="仿宋_GB2312" w:cs="Times New Roman"/>
          <w:sz w:val="32"/>
          <w:szCs w:val="32"/>
        </w:rPr>
        <w:t>。发现的主要问题及原因：一是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加强医疗质量管理，强化学科建设及技术攻关</w:t>
      </w:r>
      <w:r>
        <w:rPr>
          <w:rFonts w:ascii="Times New Roman" w:hAnsi="Times New Roman" w:eastAsia="仿宋_GB2312" w:cs="Times New Roman"/>
          <w:sz w:val="32"/>
          <w:szCs w:val="32"/>
        </w:rPr>
        <w:t>；二是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防范恶性医疗纠纷，杜绝重大医疗事故，确保社会对医院工作的满意率</w:t>
      </w:r>
      <w:r>
        <w:rPr>
          <w:rFonts w:ascii="Times New Roman" w:hAnsi="Times New Roman" w:eastAsia="仿宋_GB2312" w:cs="Times New Roman"/>
          <w:sz w:val="32"/>
          <w:szCs w:val="32"/>
        </w:rPr>
        <w:t>。下一步改进措施：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加强学科建设，提升服务效能，真正成为一座学科特色鲜明、技术先进、服务规范、管理科学、患者信任度高、员工幸福感强的区域医疗中心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>
      <w:pPr>
        <w:overflowPunct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2.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部门评价结果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本单位为二级预算单位，部门评价结果可详见上级部门决算公开说明</w:t>
      </w:r>
    </w:p>
    <w:p>
      <w:pPr>
        <w:overflowPunct w:val="0"/>
        <w:spacing w:line="600" w:lineRule="exact"/>
        <w:ind w:firstLine="640" w:firstLineChars="200"/>
        <w:rPr>
          <w:rFonts w:hint="eastAsia" w:ascii="Times New Roman" w:hAnsi="Times New Roman" w:eastAsia="仿宋_GB2312"/>
          <w:color w:val="FF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3.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highlight w:val="none"/>
          <w:lang w:val="en-US" w:eastAsia="zh-CN"/>
        </w:rPr>
        <w:t>事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  <w:highlight w:val="none"/>
        </w:rPr>
        <w:t>前绩效评估结果。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本单位为二级预算单位，事前绩效评估结果可详见上级部门决算公开说明</w:t>
      </w:r>
    </w:p>
    <w:p>
      <w:pPr>
        <w:numPr>
          <w:ilvl w:val="0"/>
          <w:numId w:val="4"/>
        </w:numPr>
        <w:autoSpaceDE w:val="0"/>
        <w:autoSpaceDN w:val="0"/>
        <w:adjustRightInd w:val="0"/>
        <w:ind w:firstLine="640" w:firstLineChars="200"/>
        <w:jc w:val="left"/>
        <w:rPr>
          <w:rFonts w:ascii="Times New Roman" w:hAnsi="Times New Roman" w:eastAsia="楷体_GB2312" w:cs="Times New Roman"/>
          <w:b/>
          <w:bCs/>
          <w:color w:val="auto"/>
          <w:kern w:val="2"/>
          <w:sz w:val="32"/>
          <w:szCs w:val="32"/>
          <w:highlight w:val="none"/>
        </w:rPr>
      </w:pPr>
      <w:r>
        <w:rPr>
          <w:rFonts w:ascii="Times New Roman" w:hAnsi="Times New Roman" w:eastAsia="楷体_GB2312" w:cs="Times New Roman"/>
          <w:b/>
          <w:bCs/>
          <w:color w:val="auto"/>
          <w:kern w:val="2"/>
          <w:sz w:val="32"/>
          <w:szCs w:val="32"/>
          <w:highlight w:val="none"/>
        </w:rPr>
        <w:t>评价结果应用情况</w:t>
      </w:r>
    </w:p>
    <w:p>
      <w:pPr>
        <w:numPr>
          <w:ilvl w:val="0"/>
          <w:numId w:val="0"/>
        </w:numPr>
        <w:autoSpaceDE w:val="0"/>
        <w:autoSpaceDN w:val="0"/>
        <w:adjustRightInd w:val="0"/>
        <w:ind w:firstLine="640" w:firstLineChars="200"/>
        <w:jc w:val="left"/>
        <w:rPr>
          <w:rFonts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  <w:highlight w:val="none"/>
        </w:rPr>
        <w:t>根据2024年度绩效自评结果、部门评价结果、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事前绩效</w:t>
      </w:r>
      <w:r>
        <w:rPr>
          <w:rFonts w:ascii="Times New Roman" w:hAnsi="Times New Roman" w:eastAsia="仿宋_GB2312" w:cs="Times New Roman"/>
          <w:color w:val="auto"/>
          <w:sz w:val="32"/>
          <w:szCs w:val="32"/>
          <w:highlight w:val="none"/>
        </w:rPr>
        <w:t>评价结果对本部门2025年度预算安排，支出结构调整，资金管理，制度建设等方面结果运用进行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进一步优化，秉承厉行节约、合理开支的原则合理开支</w:t>
      </w:r>
      <w:r>
        <w:rPr>
          <w:rFonts w:ascii="Times New Roman" w:hAnsi="Times New Roman" w:eastAsia="仿宋_GB2312" w:cs="Times New Roman"/>
          <w:color w:val="auto"/>
          <w:sz w:val="32"/>
          <w:szCs w:val="32"/>
          <w:highlight w:val="none"/>
        </w:rPr>
        <w:t>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预算绩效管理开展情况、绩效目标和绩效评价报告等，已在市政府部门财政预决算公开平台上向社会公开，详见附件。</w:t>
      </w:r>
    </w:p>
    <w:p>
      <w:pPr>
        <w:pStyle w:val="7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autoSpaceDE w:val="0"/>
        <w:autoSpaceDN w:val="0"/>
        <w:adjustRightInd w:val="0"/>
        <w:jc w:val="left"/>
        <w:rPr>
          <w:rFonts w:hint="eastAsia" w:ascii="楷体" w:hAnsi="楷体" w:eastAsia="楷体" w:cs="楷体"/>
          <w:b/>
          <w:bCs/>
          <w:i w:val="0"/>
          <w:iCs w:val="0"/>
          <w:color w:val="FF0000"/>
          <w:kern w:val="0"/>
          <w:sz w:val="36"/>
          <w:szCs w:val="36"/>
          <w:lang w:val="en-US" w:eastAsia="zh-CN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第四部分</w:t>
      </w:r>
    </w:p>
    <w:p>
      <w:pPr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70"/>
          <w:szCs w:val="70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70"/>
          <w:szCs w:val="70"/>
        </w:rPr>
        <w:t>名词解释</w:t>
      </w:r>
    </w:p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pStyle w:val="7"/>
        <w:rPr>
          <w:rFonts w:hint="eastAsia"/>
        </w:rPr>
      </w:pP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一、“三公”经费：指用财政拨款安排的因公出国（境）费、公务用车购置及运行费和公务接待费。其中，因公出国（境）费反映出国（境）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（含外宾接待）支出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二、机关运行经费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，指为保障行政单位（包括参照公务员法管理的事业单位）运行用于购买货物和服务的各项资金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，包括办公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费、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印刷费、邮电费、差旅费、会议费、日常维修费、专用材料及一般设备购置费、办公用房水电费、办公用房取暖费、办公用房物业管理费、公务用车运行维护费以及其他费用。</w:t>
      </w:r>
    </w:p>
    <w:p>
      <w:pPr>
        <w:pStyle w:val="12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/>
    <w:p>
      <w:pPr>
        <w:pStyle w:val="7"/>
      </w:pPr>
    </w:p>
    <w:p>
      <w:pPr>
        <w:pStyle w:val="12"/>
        <w:jc w:val="both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</w:t>
      </w:r>
      <w:r>
        <w:rPr>
          <w:rFonts w:hint="eastAsia" w:ascii="方正小标宋_GBK" w:hAnsi="方正小标宋_GBK" w:eastAsia="方正小标宋_GBK" w:cs="方正小标宋_GBK"/>
          <w:sz w:val="72"/>
          <w:szCs w:val="72"/>
          <w:lang w:eastAsia="zh-CN"/>
        </w:rPr>
        <w:t>五</w:t>
      </w: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部分</w:t>
      </w:r>
    </w:p>
    <w:p>
      <w:pPr>
        <w:pStyle w:val="12"/>
        <w:jc w:val="both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  <w:t>附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  <w:t>件</w:t>
      </w:r>
    </w:p>
    <w:p>
      <w:pPr>
        <w:ind w:firstLine="640" w:firstLineChars="200"/>
        <w:jc w:val="left"/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</w:pPr>
    </w:p>
    <w:p>
      <w:pPr>
        <w:ind w:firstLine="640" w:firstLineChars="200"/>
        <w:jc w:val="left"/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1、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年部门决算公开表格</w:t>
      </w:r>
    </w:p>
    <w:p>
      <w:pPr>
        <w:ind w:firstLine="640" w:firstLineChars="200"/>
        <w:jc w:val="left"/>
        <w:rPr>
          <w:rFonts w:ascii="宋体" w:hAnsi="宋体" w:eastAsia="宋体" w:cs="黑体"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2、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highlight w:val="none"/>
        </w:rPr>
        <w:t>202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</w:rPr>
        <w:t>年度部门整体支出绩效评价报告</w:t>
      </w: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widowControl/>
        <w:spacing w:after="0" w:afterLines="0" w:line="400" w:lineRule="exact"/>
        <w:jc w:val="left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2</w:t>
      </w:r>
    </w:p>
    <w:p>
      <w:pPr>
        <w:widowControl/>
        <w:spacing w:after="0" w:afterLines="0" w:line="400" w:lineRule="exact"/>
        <w:jc w:val="left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>
      <w:pPr>
        <w:widowControl/>
        <w:spacing w:after="120" w:afterLines="50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年度部门整体支出绩效自评表</w:t>
      </w:r>
    </w:p>
    <w:tbl>
      <w:tblPr>
        <w:tblStyle w:val="9"/>
        <w:tblW w:w="1007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34"/>
        <w:gridCol w:w="1270"/>
        <w:gridCol w:w="1311"/>
        <w:gridCol w:w="1269"/>
        <w:gridCol w:w="716"/>
        <w:gridCol w:w="873"/>
        <w:gridCol w:w="144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级预算部门名称</w:t>
            </w:r>
          </w:p>
        </w:tc>
        <w:tc>
          <w:tcPr>
            <w:tcW w:w="899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岳阳市中心医院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算申请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年初预算数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全年预算数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全年执行数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1018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1018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1018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按收入性质分：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按支出性质分：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 xml:space="preserve">  其中：  一般公共预算：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642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其中：基本支出：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642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800" w:firstLineChars="4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政府性基金拨款：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600" w:firstLineChars="3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纳入专户管理的非税收入拨款：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256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400" w:firstLineChars="7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其他资金：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120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6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3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　</w:t>
            </w:r>
          </w:p>
        </w:tc>
        <w:tc>
          <w:tcPr>
            <w:tcW w:w="43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年度指标值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实际完成值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34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就诊人数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门急诊、住院人数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按实推进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杜绝重大医疗事故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>　</w:t>
            </w:r>
            <w:r>
              <w:rPr>
                <w:rFonts w:hint="eastAsia" w:ascii="原版宋体" w:hAnsi="原版宋体" w:cs="Nimbus Roman No9 L"/>
                <w:color w:val="000000"/>
                <w:spacing w:val="0"/>
                <w:sz w:val="20"/>
                <w:szCs w:val="20"/>
                <w:lang w:val="en-US" w:eastAsia="zh-CN"/>
              </w:rPr>
              <w:t>无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>　</w:t>
            </w:r>
            <w:r>
              <w:rPr>
                <w:rFonts w:hint="eastAsia" w:ascii="原版宋体" w:hAnsi="原版宋体" w:cs="Nimbus Roman No9 L"/>
                <w:color w:val="000000"/>
                <w:spacing w:val="0"/>
                <w:sz w:val="20"/>
                <w:szCs w:val="20"/>
                <w:lang w:val="en-US" w:eastAsia="zh-CN"/>
              </w:rPr>
              <w:t>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>　</w:t>
            </w:r>
            <w:r>
              <w:rPr>
                <w:rFonts w:hint="eastAsia" w:ascii="原版宋体" w:hAnsi="原版宋体" w:cs="Nimbus Roman No9 L"/>
                <w:color w:val="000000"/>
                <w:spacing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>　</w:t>
            </w:r>
            <w:r>
              <w:rPr>
                <w:rFonts w:hint="eastAsia" w:ascii="原版宋体" w:hAnsi="原版宋体" w:cs="Nimbus Roman No9 L"/>
                <w:color w:val="000000"/>
                <w:spacing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防范恶性医疗纠纷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>　</w:t>
            </w:r>
            <w:r>
              <w:rPr>
                <w:rFonts w:hint="eastAsia" w:ascii="原版宋体" w:hAnsi="原版宋体" w:cs="Nimbus Roman No9 L"/>
                <w:color w:val="000000"/>
                <w:spacing w:val="0"/>
                <w:sz w:val="20"/>
                <w:szCs w:val="20"/>
                <w:lang w:val="en-US" w:eastAsia="zh-CN"/>
              </w:rPr>
              <w:t>无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>　</w:t>
            </w:r>
            <w:r>
              <w:rPr>
                <w:rFonts w:hint="eastAsia" w:ascii="原版宋体" w:hAnsi="原版宋体" w:cs="Nimbus Roman No9 L"/>
                <w:color w:val="000000"/>
                <w:spacing w:val="0"/>
                <w:sz w:val="20"/>
                <w:szCs w:val="20"/>
                <w:lang w:val="en-US" w:eastAsia="zh-CN"/>
              </w:rPr>
              <w:t>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>　</w:t>
            </w:r>
            <w:r>
              <w:rPr>
                <w:rFonts w:hint="eastAsia" w:ascii="原版宋体" w:hAnsi="原版宋体" w:cs="Nimbus Roman No9 L"/>
                <w:color w:val="000000"/>
                <w:spacing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>　</w:t>
            </w:r>
            <w:r>
              <w:rPr>
                <w:rFonts w:hint="eastAsia" w:ascii="原版宋体" w:hAnsi="原版宋体" w:cs="Nimbus Roman No9 L"/>
                <w:color w:val="000000"/>
                <w:spacing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完成年工作计划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>　</w:t>
            </w:r>
            <w:r>
              <w:rPr>
                <w:rFonts w:hint="eastAsia" w:ascii="原版宋体" w:hAnsi="原版宋体" w:cs="Nimbus Roman No9 L"/>
                <w:color w:val="000000"/>
                <w:spacing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>　</w:t>
            </w:r>
            <w:r>
              <w:rPr>
                <w:rFonts w:hint="eastAsia" w:ascii="原版宋体" w:hAnsi="原版宋体" w:cs="Nimbus Roman No9 L"/>
                <w:color w:val="000000"/>
                <w:spacing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>　</w:t>
            </w:r>
            <w:r>
              <w:rPr>
                <w:rFonts w:hint="eastAsia" w:ascii="原版宋体" w:hAnsi="原版宋体" w:cs="Nimbus Roman No9 L"/>
                <w:color w:val="000000"/>
                <w:spacing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>　</w:t>
            </w:r>
            <w:r>
              <w:rPr>
                <w:rFonts w:hint="eastAsia" w:ascii="原版宋体" w:hAnsi="原版宋体" w:cs="Nimbus Roman No9 L"/>
                <w:color w:val="000000"/>
                <w:spacing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成本控制在预算范围内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>　</w:t>
            </w:r>
            <w:r>
              <w:rPr>
                <w:rFonts w:hint="eastAsia" w:ascii="原版宋体" w:hAnsi="原版宋体" w:cs="Nimbus Roman No9 L"/>
                <w:color w:val="000000"/>
                <w:spacing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>　</w:t>
            </w:r>
            <w:r>
              <w:rPr>
                <w:rFonts w:hint="eastAsia" w:ascii="原版宋体" w:hAnsi="原版宋体" w:cs="Nimbus Roman No9 L"/>
                <w:color w:val="000000"/>
                <w:spacing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原版宋体" w:hAnsi="原版宋体" w:cs="Nimbus Roman No9 L"/>
                <w:color w:val="000000"/>
                <w:spacing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>　</w:t>
            </w:r>
            <w:r>
              <w:rPr>
                <w:rFonts w:hint="eastAsia" w:ascii="原版宋体" w:hAnsi="原版宋体" w:cs="Nimbus Roman No9 L"/>
                <w:color w:val="000000"/>
                <w:spacing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34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门急诊费用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>　</w:t>
            </w:r>
            <w:r>
              <w:rPr>
                <w:rFonts w:hint="eastAsia" w:ascii="原版宋体" w:hAnsi="原版宋体" w:cs="Nimbus Roman No9 L"/>
                <w:color w:val="000000"/>
                <w:spacing w:val="0"/>
                <w:sz w:val="20"/>
                <w:szCs w:val="20"/>
                <w:lang w:val="en-US" w:eastAsia="zh-CN"/>
              </w:rPr>
              <w:t>逐步降低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>　</w:t>
            </w:r>
            <w:r>
              <w:rPr>
                <w:rFonts w:hint="eastAsia" w:ascii="原版宋体" w:hAnsi="原版宋体" w:cs="Nimbus Roman No9 L"/>
                <w:color w:val="000000"/>
                <w:spacing w:val="0"/>
                <w:sz w:val="20"/>
                <w:szCs w:val="20"/>
                <w:lang w:val="en-US" w:eastAsia="zh-CN"/>
              </w:rPr>
              <w:t>逐步降低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>　</w:t>
            </w:r>
            <w:r>
              <w:rPr>
                <w:rFonts w:hint="eastAsia" w:ascii="原版宋体" w:hAnsi="原版宋体" w:cs="Nimbus Roman No9 L"/>
                <w:color w:val="000000"/>
                <w:spacing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>　</w:t>
            </w:r>
            <w:r>
              <w:rPr>
                <w:rFonts w:hint="eastAsia" w:ascii="原版宋体" w:hAnsi="原版宋体" w:cs="Nimbus Roman No9 L"/>
                <w:color w:val="000000"/>
                <w:spacing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优化就医流程，方便病人就医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>　</w:t>
            </w:r>
            <w:r>
              <w:rPr>
                <w:rFonts w:hint="eastAsia" w:ascii="原版宋体" w:hAnsi="原版宋体" w:cs="Nimbus Roman No9 L"/>
                <w:color w:val="000000"/>
                <w:spacing w:val="0"/>
                <w:sz w:val="20"/>
                <w:szCs w:val="20"/>
                <w:lang w:val="en-US" w:eastAsia="zh-CN"/>
              </w:rPr>
              <w:t>逐年提高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>　</w:t>
            </w:r>
            <w:r>
              <w:rPr>
                <w:rFonts w:hint="eastAsia" w:ascii="原版宋体" w:hAnsi="原版宋体" w:cs="Nimbus Roman No9 L"/>
                <w:color w:val="000000"/>
                <w:spacing w:val="0"/>
                <w:sz w:val="20"/>
                <w:szCs w:val="20"/>
                <w:lang w:val="en-US" w:eastAsia="zh-CN"/>
              </w:rPr>
              <w:t>逐年提高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>　</w:t>
            </w:r>
            <w:r>
              <w:rPr>
                <w:rFonts w:hint="eastAsia" w:ascii="原版宋体" w:hAnsi="原版宋体" w:cs="Nimbus Roman No9 L"/>
                <w:color w:val="000000"/>
                <w:spacing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>　</w:t>
            </w:r>
            <w:r>
              <w:rPr>
                <w:rFonts w:hint="eastAsia" w:ascii="原版宋体" w:hAnsi="原版宋体" w:cs="Nimbus Roman No9 L"/>
                <w:color w:val="000000"/>
                <w:spacing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污水处理医疗废物处理达标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>　</w:t>
            </w:r>
            <w:r>
              <w:rPr>
                <w:rFonts w:hint="eastAsia" w:ascii="原版宋体" w:hAnsi="原版宋体" w:cs="Nimbus Roman No9 L"/>
                <w:color w:val="000000"/>
                <w:spacing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>　</w:t>
            </w:r>
            <w:r>
              <w:rPr>
                <w:rFonts w:hint="eastAsia" w:ascii="原版宋体" w:hAnsi="原版宋体" w:cs="Nimbus Roman No9 L"/>
                <w:color w:val="000000"/>
                <w:spacing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>　</w:t>
            </w:r>
            <w:r>
              <w:rPr>
                <w:rFonts w:hint="eastAsia" w:ascii="原版宋体" w:hAnsi="原版宋体" w:cs="Nimbus Roman No9 L"/>
                <w:color w:val="000000"/>
                <w:spacing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>　</w:t>
            </w:r>
            <w:r>
              <w:rPr>
                <w:rFonts w:hint="eastAsia" w:ascii="原版宋体" w:hAnsi="原版宋体" w:cs="Nimbus Roman No9 L"/>
                <w:color w:val="000000"/>
                <w:spacing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三级公立医院综合改革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>　</w:t>
            </w:r>
            <w:r>
              <w:rPr>
                <w:rFonts w:hint="eastAsia" w:ascii="原版宋体" w:hAnsi="原版宋体" w:cs="Nimbus Roman No9 L"/>
                <w:color w:val="000000"/>
                <w:spacing w:val="0"/>
                <w:sz w:val="20"/>
                <w:szCs w:val="20"/>
                <w:lang w:val="en-US" w:eastAsia="zh-CN"/>
              </w:rPr>
              <w:t>扎实推进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>　</w:t>
            </w:r>
            <w:r>
              <w:rPr>
                <w:rFonts w:hint="eastAsia" w:ascii="原版宋体" w:hAnsi="原版宋体" w:cs="Nimbus Roman No9 L"/>
                <w:color w:val="000000"/>
                <w:spacing w:val="0"/>
                <w:sz w:val="20"/>
                <w:szCs w:val="20"/>
                <w:lang w:val="en-US" w:eastAsia="zh-CN"/>
              </w:rPr>
              <w:t>扎实推挤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>　</w:t>
            </w:r>
            <w:r>
              <w:rPr>
                <w:rFonts w:hint="eastAsia" w:ascii="原版宋体" w:hAnsi="原版宋体" w:cs="Nimbus Roman No9 L"/>
                <w:color w:val="000000"/>
                <w:spacing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>　</w:t>
            </w:r>
            <w:r>
              <w:rPr>
                <w:rFonts w:hint="eastAsia" w:ascii="原版宋体" w:hAnsi="原版宋体" w:cs="Nimbus Roman No9 L"/>
                <w:color w:val="000000"/>
                <w:spacing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34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患者满意度≥90%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>　</w:t>
            </w:r>
            <w:r>
              <w:rPr>
                <w:rFonts w:hint="eastAsia" w:ascii="原版宋体" w:hAnsi="原版宋体" w:cs="Nimbus Roman No9 L"/>
                <w:color w:val="000000"/>
                <w:spacing w:val="0"/>
                <w:sz w:val="20"/>
                <w:szCs w:val="20"/>
                <w:lang w:val="en-US" w:eastAsia="zh-CN"/>
              </w:rPr>
              <w:t>逐年提高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>　</w:t>
            </w:r>
            <w:r>
              <w:rPr>
                <w:rFonts w:hint="eastAsia" w:ascii="原版宋体" w:hAnsi="原版宋体" w:cs="Nimbus Roman No9 L"/>
                <w:color w:val="000000"/>
                <w:spacing w:val="0"/>
                <w:sz w:val="20"/>
                <w:szCs w:val="20"/>
                <w:lang w:val="en-US" w:eastAsia="zh-CN"/>
              </w:rPr>
              <w:t>逐年提高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>　</w:t>
            </w:r>
            <w:r>
              <w:rPr>
                <w:rFonts w:hint="eastAsia" w:ascii="原版宋体" w:hAnsi="原版宋体" w:cs="Nimbus Roman No9 L"/>
                <w:color w:val="000000"/>
                <w:spacing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原版宋体" w:hAnsi="原版宋体" w:eastAsia="仿宋_GB2312" w:cs="Nimbus Roman No9 L"/>
                <w:color w:val="000000"/>
                <w:spacing w:val="0"/>
                <w:sz w:val="20"/>
                <w:szCs w:val="20"/>
              </w:rPr>
              <w:t>　</w:t>
            </w:r>
            <w:r>
              <w:rPr>
                <w:rFonts w:hint="eastAsia" w:ascii="原版宋体" w:hAnsi="原版宋体" w:cs="Nimbus Roman No9 L"/>
                <w:color w:val="000000"/>
                <w:spacing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widowControl/>
        <w:spacing w:line="600" w:lineRule="exact"/>
        <w:jc w:val="left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填表人：      填报日期：         联系电话：  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       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单位负责人签字：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br w:type="page"/>
      </w: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9"/>
        <w:tblW w:w="985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艾滋病防治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115.84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96.53%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9.9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7.9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　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80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确诊的艾滋病患者住院治疗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危急重并发症的治疗率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艾滋病健康教育率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患者治疗时间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一年内完成工作计划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一年内完成工作计划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患者治疗费用标准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按病情指标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按病情指标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不适用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不适用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不适用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艾滋病防治政策知晓率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艾滋病传播途径知晓率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艾滋病高危行为后的紧急措施和知晓率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不适用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不适用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不适用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为和谐社会做贡献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社会和谐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社会和谐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服务对象满意度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≥95%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95%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，其他事业发展类资金…各一张表。</w:t>
      </w:r>
    </w:p>
    <w:p>
      <w:pPr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</w:pPr>
    </w:p>
    <w:p>
      <w:pP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填表人：    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填报日期：  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  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联系电话：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     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单位负责人签字：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br w:type="page"/>
      </w: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4</w:t>
      </w:r>
    </w:p>
    <w:p>
      <w:pPr>
        <w:jc w:val="center"/>
        <w:rPr>
          <w:rFonts w:hint="default" w:ascii="Times New Roman" w:hAnsi="Times New Roman" w:eastAsia="方正小标宋_GBK" w:cs="Times New Roman"/>
          <w:sz w:val="52"/>
          <w:szCs w:val="52"/>
          <w:highlight w:val="none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中心医院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部门（单位）整体支出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绩效自评报告</w:t>
      </w:r>
    </w:p>
    <w:p>
      <w:pPr>
        <w:jc w:val="center"/>
        <w:rPr>
          <w:rFonts w:hint="default" w:ascii="Times New Roman" w:hAnsi="Times New Roman" w:eastAsia="方正小标宋_GBK" w:cs="Times New Roman"/>
          <w:b/>
          <w:sz w:val="52"/>
          <w:szCs w:val="5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jc w:val="both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spacing w:line="600" w:lineRule="exact"/>
        <w:jc w:val="center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部门（单位）名称：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</w:rPr>
        <w:t>（盖章）</w:t>
      </w:r>
    </w:p>
    <w:p>
      <w:pPr>
        <w:spacing w:line="600" w:lineRule="exact"/>
        <w:jc w:val="center"/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  <w:t>年  月  日</w:t>
      </w:r>
    </w:p>
    <w:p>
      <w:pPr>
        <w:jc w:val="center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（此页为封面）</w:t>
      </w:r>
    </w:p>
    <w:p>
      <w:pPr>
        <w:ind w:firstLine="880" w:firstLineChars="200"/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</w:p>
    <w:p>
      <w:pPr>
        <w:ind w:firstLine="880" w:firstLineChars="200"/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中心医院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部门（单位）整体支出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部门（单位）基本情况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/>
        </w:rPr>
        <w:t>岳阳市中心医院始建于1964年，是一所集医疗、教学、科研、预防、保健、康复于一体的三级甲等综合性医院。现有职工2689人，其中正高职称256人、博士后2人、博士24人、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硕士491人。医院编制床位共2019张。全院共开设59个诊疗科目，其中临床类47个，医技类12个。开放病区62个。是中南大学湘雅二医院医疗协作医院、中南大学湘雅医学院临床教学基地，同时还承担着另外12所院校的临床教学工作，是湖南省全科医生转岗培训基地、国家住院医师规范化培训基地、国家药物临床试验机构、国家卫健委脑卒中筛查与防治基地、国际紧急救援网络医院、外国</w:t>
      </w:r>
      <w:r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专家定点医疗机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构、全国直升机医疗救援基地。医院先后被评为全国文明单位、全国卫生计生系统先进集体，是湖南省区域性医疗中心之一，湖南省首批三级甲等医院。</w:t>
      </w:r>
    </w:p>
    <w:p>
      <w:pPr>
        <w:pStyle w:val="2"/>
        <w:rPr>
          <w:rFonts w:hint="default"/>
        </w:rPr>
      </w:pPr>
    </w:p>
    <w:p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二、一般公共预算支出情况</w:t>
      </w:r>
    </w:p>
    <w:p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  <w:t>（一）基本支出情况</w:t>
      </w:r>
    </w:p>
    <w:p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岳阳市中心医院基本支出642万元，用于发放在职职工工资。</w:t>
      </w:r>
    </w:p>
    <w:p>
      <w:pPr>
        <w:pStyle w:val="18"/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  <w:t>项目支出情况</w:t>
      </w:r>
    </w:p>
    <w:p>
      <w:pPr>
        <w:pStyle w:val="1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/>
          <w:sz w:val="32"/>
          <w:szCs w:val="32"/>
          <w:highlight w:val="none"/>
          <w:lang w:val="en-US" w:eastAsia="zh-CN"/>
        </w:rPr>
        <w:t>岳阳市中心医院项目支出120万，实际执行115.84万元。用于艾滋病人医疗救治。我院坚持预防为主，防治结合的原则，努力降低艾滋病新发感染和病死率，提高艾滋病患者生存质量，确保艾滋病疫情不反复、不反弹。对符合治疗标准的艾滋病病毒感染者免费接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受抗病毒治疗，</w:t>
      </w:r>
      <w:r>
        <w:rPr>
          <w:rFonts w:hint="eastAsia" w:ascii="宋体" w:hAnsi="宋体" w:eastAsia="宋体" w:cs="宋体"/>
          <w:b w:val="0"/>
          <w:bCs/>
          <w:sz w:val="32"/>
          <w:szCs w:val="32"/>
          <w:highlight w:val="none"/>
          <w:lang w:val="en-US" w:eastAsia="zh-CN"/>
        </w:rPr>
        <w:t>宣教咨询并发放宣教资料。并</w:t>
      </w:r>
      <w:r>
        <w:rPr>
          <w:rFonts w:hint="eastAsia" w:ascii="宋体" w:hAnsi="宋体" w:eastAsia="宋体" w:cs="宋体"/>
          <w:sz w:val="32"/>
          <w:szCs w:val="32"/>
        </w:rPr>
        <w:t>主动与市疾控及各县区疾控传感科联系，培训基层艾滋病专科医生，均取得良好的社会效益。</w:t>
      </w:r>
    </w:p>
    <w:p>
      <w:pPr>
        <w:pStyle w:val="18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政府性基金预算支出情况</w:t>
      </w:r>
    </w:p>
    <w:p>
      <w:pPr>
        <w:pStyle w:val="1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0" w:firstLineChars="0"/>
        <w:jc w:val="both"/>
        <w:textAlignment w:val="auto"/>
        <w:rPr>
          <w:rFonts w:hint="eastAsia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lang w:val="en-US" w:eastAsia="zh-CN"/>
        </w:rPr>
        <w:t xml:space="preserve">    无</w:t>
      </w:r>
    </w:p>
    <w:p>
      <w:pPr>
        <w:pStyle w:val="18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国有资本经营预算支出情况</w:t>
      </w:r>
    </w:p>
    <w:p>
      <w:pPr>
        <w:pStyle w:val="1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0" w:firstLineChars="0"/>
        <w:jc w:val="both"/>
        <w:textAlignment w:val="auto"/>
        <w:rPr>
          <w:rFonts w:hint="eastAsia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lang w:val="en-US" w:eastAsia="zh-CN"/>
        </w:rPr>
        <w:t xml:space="preserve">    无</w:t>
      </w:r>
    </w:p>
    <w:p>
      <w:pPr>
        <w:pStyle w:val="18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社会保险基金预算支出情况</w:t>
      </w:r>
    </w:p>
    <w:p>
      <w:pPr>
        <w:pStyle w:val="1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0" w:firstLineChars="0"/>
        <w:jc w:val="both"/>
        <w:textAlignment w:val="auto"/>
        <w:rPr>
          <w:rFonts w:hint="eastAsia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lang w:val="en-US" w:eastAsia="zh-CN"/>
        </w:rPr>
        <w:t xml:space="preserve">    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六、部门整体支出绩效情况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highlight w:val="none"/>
          <w:lang w:val="en-US" w:eastAsia="zh-CN"/>
        </w:rPr>
        <w:t>我院以“十四五”规划为引领，以推进省级区域医疗中心建设为蓝图，以扎实做好常态化疫情防控为目标，改进医疗质量，提升服务水平，优化运行机制，推进医院各项工作健康持续发展。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32"/>
          <w:szCs w:val="32"/>
          <w:lang w:val="en-US" w:eastAsia="zh-CN"/>
        </w:rPr>
        <w:t>基本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32"/>
          <w:szCs w:val="32"/>
        </w:rPr>
        <w:t>完成了年度预期任务，并取得了较好的成效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32"/>
          <w:szCs w:val="32"/>
          <w:lang w:eastAsia="zh-CN"/>
        </w:rPr>
        <w:t>。</w:t>
      </w:r>
    </w:p>
    <w:p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七、存在的问题及原因分析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下一步改进措施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kern w:val="0"/>
          <w:sz w:val="32"/>
          <w:szCs w:val="32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32"/>
          <w:szCs w:val="32"/>
        </w:rPr>
        <w:t>（一）加强审核，提高效率，优化中间环节，提高专项资金工作效能。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宋体" w:hAnsi="宋体" w:eastAsia="宋体" w:cs="宋体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32"/>
          <w:szCs w:val="32"/>
        </w:rPr>
        <w:t>（二）进一步健全管理制度、优化工作流程，提高服务质量和管理水平，完善资金专项绩效管理。</w:t>
      </w: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highlight w:val="none"/>
          <w:lang w:val="en-US" w:eastAsia="zh-CN"/>
        </w:rPr>
        <w:t>坚持区域医疗中心和综合性三甲医院定位，强化医院内部风险管控，强化财务平衡和预算管理。</w:t>
      </w:r>
    </w:p>
    <w:p>
      <w:pPr>
        <w:pStyle w:val="4"/>
      </w:pPr>
    </w:p>
    <w:sectPr>
      <w:pgSz w:w="11906" w:h="16838"/>
      <w:pgMar w:top="720" w:right="720" w:bottom="720" w:left="72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DejaVu Sans">
    <w:panose1 w:val="020B0603030804020204"/>
    <w:charset w:val="00"/>
    <w:family w:val="auto"/>
    <w:pitch w:val="default"/>
    <w:sig w:usb0="E7002EFF" w:usb1="D200FDFF" w:usb2="0A246029" w:usb3="00000000" w:csb0="600001FF" w:csb1="DFFF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MathJax_Vector">
    <w:altName w:val="Trebuchet MS"/>
    <w:panose1 w:val="02000603000000000000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rebuchet MS">
    <w:panose1 w:val="020B0603020202020204"/>
    <w:charset w:val="00"/>
    <w:family w:val="auto"/>
    <w:pitch w:val="default"/>
    <w:sig w:usb0="00000687" w:usb1="00000000" w:usb2="00000000" w:usb3="00000000" w:csb0="2000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roman"/>
    <w:pitch w:val="default"/>
    <w:sig w:usb0="E0002EFF" w:usb1="C000785B" w:usb2="00000009" w:usb3="00000000" w:csb0="400001FF" w:csb1="FFFF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Mangal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angal">
    <w:altName w:val="Yu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Dialog">
    <w:altName w:val="Times New Roman"/>
    <w:panose1 w:val="00000000000000000000"/>
    <w:charset w:val="86"/>
    <w:family w:val="roman"/>
    <w:pitch w:val="default"/>
    <w:sig w:usb0="00000000" w:usb1="00000000" w:usb2="00000000" w:usb3="00000000" w:csb0="0004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Yu Gothic Medium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 Light"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方正宋体S-超大字符集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Nimbus Roman No9 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大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ndara Light">
    <w:panose1 w:val="020E0502030303020204"/>
    <w:charset w:val="00"/>
    <w:family w:val="auto"/>
    <w:pitch w:val="default"/>
    <w:sig w:usb0="A00002EF" w:usb1="4000A44B" w:usb2="00000000" w:usb3="00000000" w:csb0="2000019F" w:csb1="0000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Bahnschrift SemiLight 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crosoft YaHei UI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原版宋体">
    <w:altName w:val="宋体"/>
    <w:panose1 w:val="02010600030101010101"/>
    <w:charset w:val="00"/>
    <w:family w:val="auto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EDECFD4"/>
    <w:multiLevelType w:val="singleLevel"/>
    <w:tmpl w:val="8EDECFD4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3CBC331"/>
    <w:multiLevelType w:val="singleLevel"/>
    <w:tmpl w:val="E3CBC331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73518C1"/>
    <w:multiLevelType w:val="multilevel"/>
    <w:tmpl w:val="373518C1"/>
    <w:lvl w:ilvl="0" w:tentative="0">
      <w:start w:val="1"/>
      <w:numFmt w:val="none"/>
      <w:lvlText w:val="一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850CADA"/>
    <w:multiLevelType w:val="singleLevel"/>
    <w:tmpl w:val="6850CADA"/>
    <w:lvl w:ilvl="0" w:tentative="0">
      <w:start w:val="1"/>
      <w:numFmt w:val="chineseCounting"/>
      <w:suff w:val="nothing"/>
      <w:lvlText w:val="%1、"/>
      <w:lvlJc w:val="left"/>
    </w:lvl>
  </w:abstractNum>
  <w:abstractNum w:abstractNumId="4">
    <w:nsid w:val="6850CB42"/>
    <w:multiLevelType w:val="singleLevel"/>
    <w:tmpl w:val="6850CB42"/>
    <w:lvl w:ilvl="0" w:tentative="0">
      <w:start w:val="2"/>
      <w:numFmt w:val="chineseCounting"/>
      <w:suff w:val="nothing"/>
      <w:lvlText w:val="（%1）"/>
      <w:lvlJc w:val="left"/>
    </w:lvl>
  </w:abstractNum>
  <w:abstractNum w:abstractNumId="5">
    <w:nsid w:val="6850CB83"/>
    <w:multiLevelType w:val="singleLevel"/>
    <w:tmpl w:val="6850CB83"/>
    <w:lvl w:ilvl="0" w:tentative="0">
      <w:start w:val="3"/>
      <w:numFmt w:val="chineseCounting"/>
      <w:suff w:val="nothing"/>
      <w:lvlText w:val="%1、"/>
      <w:lvlJc w:val="left"/>
    </w:lvl>
  </w:abstractNum>
  <w:abstractNum w:abstractNumId="6">
    <w:nsid w:val="6850CBDD"/>
    <w:multiLevelType w:val="singleLevel"/>
    <w:tmpl w:val="6850CBDD"/>
    <w:lvl w:ilvl="0" w:tentative="0">
      <w:start w:val="8"/>
      <w:numFmt w:val="chineseCounting"/>
      <w:suff w:val="nothing"/>
      <w:lvlText w:val="%1、"/>
      <w:lvlJc w:val="left"/>
    </w:lvl>
  </w:abstractNum>
  <w:abstractNum w:abstractNumId="7">
    <w:nsid w:val="68D20560"/>
    <w:multiLevelType w:val="singleLevel"/>
    <w:tmpl w:val="68D20560"/>
    <w:lvl w:ilvl="0" w:tentative="0">
      <w:start w:val="2"/>
      <w:numFmt w:val="decimal"/>
      <w:suff w:val="nothing"/>
      <w:lvlText w:val="%1."/>
      <w:lvlJc w:val="left"/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6F9"/>
    <w:rsid w:val="0002229B"/>
    <w:rsid w:val="000273BD"/>
    <w:rsid w:val="00040CBC"/>
    <w:rsid w:val="000415B7"/>
    <w:rsid w:val="00041E3F"/>
    <w:rsid w:val="00055DAA"/>
    <w:rsid w:val="00061F7B"/>
    <w:rsid w:val="000658A3"/>
    <w:rsid w:val="00074155"/>
    <w:rsid w:val="000A3F69"/>
    <w:rsid w:val="00103957"/>
    <w:rsid w:val="00152C6D"/>
    <w:rsid w:val="00162D39"/>
    <w:rsid w:val="001678BD"/>
    <w:rsid w:val="00182373"/>
    <w:rsid w:val="001A67DB"/>
    <w:rsid w:val="001C3C29"/>
    <w:rsid w:val="001D51E5"/>
    <w:rsid w:val="001E080D"/>
    <w:rsid w:val="001E53D0"/>
    <w:rsid w:val="001F0C3B"/>
    <w:rsid w:val="00202C82"/>
    <w:rsid w:val="00214427"/>
    <w:rsid w:val="00226CB7"/>
    <w:rsid w:val="00264552"/>
    <w:rsid w:val="00264EF9"/>
    <w:rsid w:val="00265724"/>
    <w:rsid w:val="0027426B"/>
    <w:rsid w:val="002E0A30"/>
    <w:rsid w:val="003130C4"/>
    <w:rsid w:val="00316C4B"/>
    <w:rsid w:val="0032192B"/>
    <w:rsid w:val="003479BD"/>
    <w:rsid w:val="0037197D"/>
    <w:rsid w:val="003768D5"/>
    <w:rsid w:val="003926B9"/>
    <w:rsid w:val="003C47E6"/>
    <w:rsid w:val="003C4FC2"/>
    <w:rsid w:val="00416E61"/>
    <w:rsid w:val="0042790C"/>
    <w:rsid w:val="004506F9"/>
    <w:rsid w:val="004717A2"/>
    <w:rsid w:val="00473DF3"/>
    <w:rsid w:val="00487911"/>
    <w:rsid w:val="00491741"/>
    <w:rsid w:val="004B0CEE"/>
    <w:rsid w:val="00500E5F"/>
    <w:rsid w:val="005122EF"/>
    <w:rsid w:val="0051441A"/>
    <w:rsid w:val="00517C33"/>
    <w:rsid w:val="00517D5F"/>
    <w:rsid w:val="00523644"/>
    <w:rsid w:val="0054069E"/>
    <w:rsid w:val="00544866"/>
    <w:rsid w:val="005767CC"/>
    <w:rsid w:val="00590D9F"/>
    <w:rsid w:val="00595D26"/>
    <w:rsid w:val="005A74E6"/>
    <w:rsid w:val="005B404E"/>
    <w:rsid w:val="005D4D55"/>
    <w:rsid w:val="005E2CFB"/>
    <w:rsid w:val="005F2103"/>
    <w:rsid w:val="005F3D1C"/>
    <w:rsid w:val="0062378F"/>
    <w:rsid w:val="00641842"/>
    <w:rsid w:val="00651EEC"/>
    <w:rsid w:val="00686673"/>
    <w:rsid w:val="00691E8C"/>
    <w:rsid w:val="006A22C4"/>
    <w:rsid w:val="006A351B"/>
    <w:rsid w:val="006B0422"/>
    <w:rsid w:val="006C1B53"/>
    <w:rsid w:val="006D7730"/>
    <w:rsid w:val="006E5284"/>
    <w:rsid w:val="006F3EB5"/>
    <w:rsid w:val="00702E34"/>
    <w:rsid w:val="00704395"/>
    <w:rsid w:val="00710FE7"/>
    <w:rsid w:val="00717621"/>
    <w:rsid w:val="00720FF1"/>
    <w:rsid w:val="00727A53"/>
    <w:rsid w:val="00787B42"/>
    <w:rsid w:val="007C4539"/>
    <w:rsid w:val="007F3657"/>
    <w:rsid w:val="00812ED5"/>
    <w:rsid w:val="008277D9"/>
    <w:rsid w:val="0084478C"/>
    <w:rsid w:val="0086638C"/>
    <w:rsid w:val="008A3E8D"/>
    <w:rsid w:val="009237C4"/>
    <w:rsid w:val="00944C48"/>
    <w:rsid w:val="00950252"/>
    <w:rsid w:val="00967F5D"/>
    <w:rsid w:val="009A0F95"/>
    <w:rsid w:val="009B3ADF"/>
    <w:rsid w:val="009B4D8E"/>
    <w:rsid w:val="009C3B52"/>
    <w:rsid w:val="009E6817"/>
    <w:rsid w:val="009E6E9A"/>
    <w:rsid w:val="00A01D2B"/>
    <w:rsid w:val="00A42218"/>
    <w:rsid w:val="00A70249"/>
    <w:rsid w:val="00A70B02"/>
    <w:rsid w:val="00A71D9F"/>
    <w:rsid w:val="00A92E9F"/>
    <w:rsid w:val="00AB18FF"/>
    <w:rsid w:val="00B33BEA"/>
    <w:rsid w:val="00B57C9F"/>
    <w:rsid w:val="00B63572"/>
    <w:rsid w:val="00B845B3"/>
    <w:rsid w:val="00B85D8B"/>
    <w:rsid w:val="00BB4A40"/>
    <w:rsid w:val="00BD6C3E"/>
    <w:rsid w:val="00BE3674"/>
    <w:rsid w:val="00C10681"/>
    <w:rsid w:val="00C3049A"/>
    <w:rsid w:val="00C31B1E"/>
    <w:rsid w:val="00C77645"/>
    <w:rsid w:val="00CE04C3"/>
    <w:rsid w:val="00CE76A0"/>
    <w:rsid w:val="00D148C6"/>
    <w:rsid w:val="00D17A8A"/>
    <w:rsid w:val="00D415BA"/>
    <w:rsid w:val="00D63780"/>
    <w:rsid w:val="00D644EE"/>
    <w:rsid w:val="00DD06FF"/>
    <w:rsid w:val="00DD5FE9"/>
    <w:rsid w:val="00E00C7A"/>
    <w:rsid w:val="00E37D6C"/>
    <w:rsid w:val="00E55B68"/>
    <w:rsid w:val="00E561AE"/>
    <w:rsid w:val="00E67BE6"/>
    <w:rsid w:val="00E8683C"/>
    <w:rsid w:val="00EA2B72"/>
    <w:rsid w:val="00F74360"/>
    <w:rsid w:val="00FB462F"/>
    <w:rsid w:val="00FE16FA"/>
    <w:rsid w:val="00FE328A"/>
    <w:rsid w:val="00FE6269"/>
    <w:rsid w:val="00FF5CD6"/>
    <w:rsid w:val="059958AD"/>
    <w:rsid w:val="06C857E7"/>
    <w:rsid w:val="08C24A73"/>
    <w:rsid w:val="11944E2C"/>
    <w:rsid w:val="12583BA5"/>
    <w:rsid w:val="13BA5B9C"/>
    <w:rsid w:val="1B576870"/>
    <w:rsid w:val="1B7246A6"/>
    <w:rsid w:val="1D97DEFF"/>
    <w:rsid w:val="1DFF72E5"/>
    <w:rsid w:val="1EFC6F07"/>
    <w:rsid w:val="1F0527A6"/>
    <w:rsid w:val="22AC03C2"/>
    <w:rsid w:val="283B15FE"/>
    <w:rsid w:val="2FDF85B8"/>
    <w:rsid w:val="2FFFEE04"/>
    <w:rsid w:val="31C95635"/>
    <w:rsid w:val="335E4689"/>
    <w:rsid w:val="34DF85B0"/>
    <w:rsid w:val="3B8F36BC"/>
    <w:rsid w:val="405147C1"/>
    <w:rsid w:val="43EB5BA5"/>
    <w:rsid w:val="491FF225"/>
    <w:rsid w:val="4AA15214"/>
    <w:rsid w:val="4EC310A1"/>
    <w:rsid w:val="4FFD214C"/>
    <w:rsid w:val="5352765A"/>
    <w:rsid w:val="5777D4F5"/>
    <w:rsid w:val="57F22B6F"/>
    <w:rsid w:val="59DD8326"/>
    <w:rsid w:val="5DEF592A"/>
    <w:rsid w:val="5FC6BB1E"/>
    <w:rsid w:val="5FF720F1"/>
    <w:rsid w:val="622964C1"/>
    <w:rsid w:val="67FF5C0B"/>
    <w:rsid w:val="6BAA4A2F"/>
    <w:rsid w:val="6DDEC5C0"/>
    <w:rsid w:val="6EFC0924"/>
    <w:rsid w:val="6FB74722"/>
    <w:rsid w:val="6FEF8B7E"/>
    <w:rsid w:val="717FE77F"/>
    <w:rsid w:val="71A6591B"/>
    <w:rsid w:val="737D59BA"/>
    <w:rsid w:val="737F32B1"/>
    <w:rsid w:val="73BD3FCA"/>
    <w:rsid w:val="767018D7"/>
    <w:rsid w:val="776BDA01"/>
    <w:rsid w:val="77C37683"/>
    <w:rsid w:val="79FF515B"/>
    <w:rsid w:val="7DFBFF20"/>
    <w:rsid w:val="7E9E1962"/>
    <w:rsid w:val="7E9F11B4"/>
    <w:rsid w:val="7F37EC1E"/>
    <w:rsid w:val="7F7C0DDA"/>
    <w:rsid w:val="7F7DCD9D"/>
    <w:rsid w:val="7F970A6F"/>
    <w:rsid w:val="7FC1FFF3"/>
    <w:rsid w:val="7FC69637"/>
    <w:rsid w:val="7FDF8620"/>
    <w:rsid w:val="7FFB242F"/>
    <w:rsid w:val="7FFDB408"/>
    <w:rsid w:val="7FFE4EEB"/>
    <w:rsid w:val="95FB2B98"/>
    <w:rsid w:val="9A639BC2"/>
    <w:rsid w:val="9FF7D786"/>
    <w:rsid w:val="ABBFB23D"/>
    <w:rsid w:val="B6BE5A03"/>
    <w:rsid w:val="B8C93228"/>
    <w:rsid w:val="C3B4DA5A"/>
    <w:rsid w:val="C4FF458C"/>
    <w:rsid w:val="C7BBD038"/>
    <w:rsid w:val="CBFF70E0"/>
    <w:rsid w:val="CFF50B82"/>
    <w:rsid w:val="CFFFAD89"/>
    <w:rsid w:val="DFFE359E"/>
    <w:rsid w:val="DFFE4FFD"/>
    <w:rsid w:val="DFFF5403"/>
    <w:rsid w:val="EBC3E00A"/>
    <w:rsid w:val="EDFBE100"/>
    <w:rsid w:val="EEABED75"/>
    <w:rsid w:val="EF7E8003"/>
    <w:rsid w:val="F56FDF51"/>
    <w:rsid w:val="F5F3EE78"/>
    <w:rsid w:val="F6B69F17"/>
    <w:rsid w:val="F6E5BB3A"/>
    <w:rsid w:val="F77F1D61"/>
    <w:rsid w:val="F7FED3A9"/>
    <w:rsid w:val="F8C9DB26"/>
    <w:rsid w:val="F97E8EAE"/>
    <w:rsid w:val="FB36E1A6"/>
    <w:rsid w:val="FB3BE134"/>
    <w:rsid w:val="FCFF4275"/>
    <w:rsid w:val="FD7FEEEA"/>
    <w:rsid w:val="FDFFB577"/>
    <w:rsid w:val="FEEA50FE"/>
    <w:rsid w:val="FF7D47A9"/>
    <w:rsid w:val="FFCF21CB"/>
    <w:rsid w:val="FFF94102"/>
    <w:rsid w:val="FFFF1C8B"/>
    <w:rsid w:val="FFFF743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"/>
    <w:basedOn w:val="1"/>
    <w:next w:val="4"/>
    <w:unhideWhenUsed/>
    <w:qFormat/>
    <w:uiPriority w:val="99"/>
    <w:pPr>
      <w:widowControl/>
      <w:spacing w:after="120"/>
      <w:ind w:left="420" w:leftChars="200"/>
      <w:jc w:val="left"/>
    </w:pPr>
    <w:rPr>
      <w:rFonts w:ascii="宋体" w:hAnsi="宋体" w:eastAsia="宋体" w:cs="宋体"/>
      <w:kern w:val="0"/>
      <w:sz w:val="24"/>
    </w:rPr>
  </w:style>
  <w:style w:type="paragraph" w:styleId="4">
    <w:name w:val="Body Text First Indent 2"/>
    <w:basedOn w:val="3"/>
    <w:next w:val="1"/>
    <w:unhideWhenUsed/>
    <w:qFormat/>
    <w:uiPriority w:val="99"/>
    <w:pPr>
      <w:ind w:firstLine="420" w:firstLineChars="200"/>
    </w:pPr>
  </w:style>
  <w:style w:type="paragraph" w:styleId="5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footnote text"/>
    <w:basedOn w:val="1"/>
    <w:next w:val="4"/>
    <w:semiHidden/>
    <w:qFormat/>
    <w:uiPriority w:val="0"/>
    <w:pPr>
      <w:snapToGrid w:val="0"/>
      <w:jc w:val="left"/>
    </w:pPr>
    <w:rPr>
      <w:sz w:val="18"/>
      <w:szCs w:val="18"/>
    </w:rPr>
  </w:style>
  <w:style w:type="character" w:customStyle="1" w:styleId="10">
    <w:name w:val="页眉 Char"/>
    <w:basedOn w:val="8"/>
    <w:link w:val="2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6"/>
    <w:qFormat/>
    <w:uiPriority w:val="99"/>
    <w:rPr>
      <w:sz w:val="18"/>
      <w:szCs w:val="18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  <w:style w:type="paragraph" w:customStyle="1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8"/>
    <w:link w:val="5"/>
    <w:semiHidden/>
    <w:qFormat/>
    <w:uiPriority w:val="99"/>
    <w:rPr>
      <w:sz w:val="18"/>
      <w:szCs w:val="18"/>
    </w:rPr>
  </w:style>
  <w:style w:type="character" w:customStyle="1" w:styleId="15">
    <w:name w:val="font01"/>
    <w:basedOn w:val="8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6">
    <w:name w:val="font21"/>
    <w:basedOn w:val="8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7">
    <w:name w:val="font11"/>
    <w:basedOn w:val="8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paragraph" w:customStyle="1" w:styleId="18">
    <w:name w:val="_Style 3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20</Pages>
  <Words>1347</Words>
  <Characters>7679</Characters>
  <Lines>63</Lines>
  <Paragraphs>18</Paragraphs>
  <ScaleCrop>false</ScaleCrop>
  <LinksUpToDate>false</LinksUpToDate>
  <CharactersWithSpaces>9008</CharactersWithSpaces>
  <Application>WPS Office_10.8.0.5838_F1E327BC-269C-435d-A152-05C5408002CA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2020-07-10T18:32:00Z</dcterms:created>
  <dc:creator>李航 null</dc:creator>
  <cp:lastModifiedBy>Administrator</cp:lastModifiedBy>
  <cp:lastPrinted>2025-09-22T03:14:00Z</cp:lastPrinted>
  <dcterms:modified xsi:type="dcterms:W3CDTF">2025-09-23T03:11:11Z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2052-10.8.0.5838</vt:lpwstr>
  </property>
  <property fmtid="{D5CDD505-2E9C-101B-9397-08002B2CF9AE}" pid="3" name="ICV">
    <vt:lpwstr>98623D6660B449428EB8E073C6C952EA</vt:lpwstr>
  </property>
</Properties>
</file>