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CFF1">
      <w:pPr>
        <w:pStyle w:val="12"/>
        <w:jc w:val="center"/>
        <w:rPr>
          <w:sz w:val="56"/>
          <w:szCs w:val="56"/>
        </w:rPr>
      </w:pPr>
    </w:p>
    <w:p w14:paraId="3BDF5AB8">
      <w:pPr>
        <w:pStyle w:val="12"/>
        <w:jc w:val="center"/>
        <w:rPr>
          <w:sz w:val="56"/>
          <w:szCs w:val="56"/>
        </w:rPr>
      </w:pPr>
    </w:p>
    <w:p w14:paraId="60CA4575">
      <w:pPr>
        <w:pStyle w:val="12"/>
        <w:jc w:val="center"/>
        <w:rPr>
          <w:sz w:val="84"/>
          <w:szCs w:val="84"/>
        </w:rPr>
      </w:pPr>
    </w:p>
    <w:p w14:paraId="215EB31D">
      <w:pPr>
        <w:pStyle w:val="12"/>
        <w:jc w:val="center"/>
        <w:rPr>
          <w:sz w:val="84"/>
          <w:szCs w:val="84"/>
        </w:rPr>
      </w:pPr>
    </w:p>
    <w:p w14:paraId="376C8602">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14:paraId="6934EBE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岳阳市中医医院</w:t>
      </w:r>
      <w:r>
        <w:rPr>
          <w:rFonts w:hint="eastAsia" w:ascii="方正小标宋_GBK" w:hAnsi="方正小标宋_GBK" w:eastAsia="方正小标宋_GBK" w:cs="方正小标宋_GBK"/>
          <w:sz w:val="84"/>
          <w:szCs w:val="84"/>
        </w:rPr>
        <w:t>部门决算</w:t>
      </w:r>
    </w:p>
    <w:p w14:paraId="3A699C16">
      <w:pPr>
        <w:pStyle w:val="12"/>
        <w:jc w:val="center"/>
        <w:rPr>
          <w:rFonts w:hint="eastAsia" w:ascii="方正小标宋_GBK" w:hAnsi="方正小标宋_GBK" w:eastAsia="方正小标宋_GBK" w:cs="方正小标宋_GBK"/>
          <w:sz w:val="56"/>
          <w:szCs w:val="56"/>
        </w:rPr>
      </w:pPr>
    </w:p>
    <w:p w14:paraId="72C8FB58">
      <w:pPr>
        <w:pStyle w:val="12"/>
        <w:jc w:val="center"/>
        <w:rPr>
          <w:sz w:val="56"/>
          <w:szCs w:val="56"/>
        </w:rPr>
      </w:pPr>
    </w:p>
    <w:p w14:paraId="25018D25">
      <w:pPr>
        <w:pStyle w:val="12"/>
        <w:jc w:val="center"/>
        <w:rPr>
          <w:sz w:val="56"/>
          <w:szCs w:val="56"/>
        </w:rPr>
      </w:pPr>
    </w:p>
    <w:p w14:paraId="297571C5">
      <w:pPr>
        <w:pStyle w:val="12"/>
        <w:jc w:val="both"/>
        <w:rPr>
          <w:sz w:val="32"/>
          <w:szCs w:val="32"/>
        </w:rPr>
      </w:pPr>
    </w:p>
    <w:p w14:paraId="08493D1E">
      <w:pPr>
        <w:pStyle w:val="12"/>
        <w:jc w:val="center"/>
        <w:rPr>
          <w:sz w:val="32"/>
          <w:szCs w:val="32"/>
        </w:rPr>
      </w:pPr>
    </w:p>
    <w:p w14:paraId="5BD6E8BD">
      <w:pPr>
        <w:pStyle w:val="12"/>
        <w:jc w:val="center"/>
        <w:rPr>
          <w:sz w:val="32"/>
          <w:szCs w:val="32"/>
        </w:rPr>
      </w:pPr>
    </w:p>
    <w:p w14:paraId="1062A3B4">
      <w:pPr>
        <w:pStyle w:val="12"/>
        <w:jc w:val="center"/>
        <w:rPr>
          <w:sz w:val="32"/>
          <w:szCs w:val="32"/>
        </w:rPr>
      </w:pPr>
    </w:p>
    <w:p w14:paraId="6311DFC7">
      <w:pPr>
        <w:pStyle w:val="12"/>
        <w:jc w:val="center"/>
        <w:rPr>
          <w:sz w:val="32"/>
          <w:szCs w:val="32"/>
        </w:rPr>
      </w:pPr>
    </w:p>
    <w:p w14:paraId="50228290">
      <w:pPr>
        <w:pStyle w:val="12"/>
        <w:spacing w:line="540" w:lineRule="exact"/>
        <w:jc w:val="center"/>
        <w:rPr>
          <w:sz w:val="56"/>
          <w:szCs w:val="56"/>
        </w:rPr>
      </w:pPr>
    </w:p>
    <w:p w14:paraId="4D98B82C">
      <w:pPr>
        <w:pStyle w:val="12"/>
        <w:spacing w:line="540" w:lineRule="exact"/>
        <w:jc w:val="center"/>
        <w:rPr>
          <w:sz w:val="56"/>
          <w:szCs w:val="56"/>
        </w:rPr>
      </w:pPr>
    </w:p>
    <w:p w14:paraId="459C483D">
      <w:pPr>
        <w:pStyle w:val="12"/>
        <w:spacing w:line="500" w:lineRule="exact"/>
        <w:jc w:val="both"/>
        <w:rPr>
          <w:b/>
          <w:sz w:val="36"/>
          <w:szCs w:val="28"/>
        </w:rPr>
      </w:pPr>
    </w:p>
    <w:p w14:paraId="24F3309B">
      <w:pPr>
        <w:pStyle w:val="12"/>
        <w:spacing w:line="500" w:lineRule="exact"/>
        <w:jc w:val="center"/>
        <w:rPr>
          <w:b/>
          <w:sz w:val="36"/>
          <w:szCs w:val="28"/>
        </w:rPr>
      </w:pPr>
      <w:r>
        <w:rPr>
          <w:rFonts w:hint="eastAsia"/>
          <w:b/>
          <w:sz w:val="36"/>
          <w:szCs w:val="28"/>
        </w:rPr>
        <w:t>目录</w:t>
      </w:r>
    </w:p>
    <w:p w14:paraId="6CBD0C22">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岳阳市中医医院</w:t>
      </w:r>
      <w:r>
        <w:rPr>
          <w:rFonts w:hint="eastAsia" w:ascii="黑体" w:hAnsi="黑体" w:eastAsia="黑体" w:cs="黑体"/>
          <w:b w:val="0"/>
          <w:bCs/>
          <w:sz w:val="28"/>
          <w:szCs w:val="28"/>
          <w:lang w:eastAsia="zh-CN"/>
        </w:rPr>
        <w:t>部门</w:t>
      </w:r>
      <w:r>
        <w:rPr>
          <w:rFonts w:hint="eastAsia" w:ascii="黑体" w:hAnsi="黑体" w:eastAsia="黑体" w:cs="黑体"/>
          <w:b w:val="0"/>
          <w:bCs/>
          <w:sz w:val="28"/>
          <w:szCs w:val="28"/>
        </w:rPr>
        <w:t>概况</w:t>
      </w:r>
    </w:p>
    <w:p w14:paraId="060CB1D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15E49DA">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CE431DD">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B1DE22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DAEA9B">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189E141">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21647E">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8E0B171">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A1DA96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E9A333">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16661B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82758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9B4707F">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D2819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99AFE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9796A8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F5763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551B6B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BC2CE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1D8554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6B5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14:paraId="71D9102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71B64F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24E73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C86A3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E15A64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BD7D26C">
      <w:pPr>
        <w:pStyle w:val="12"/>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14:paraId="51852483">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D866A9C">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E7F14A9">
      <w:pPr>
        <w:pStyle w:val="12"/>
        <w:jc w:val="center"/>
        <w:rPr>
          <w:rFonts w:hint="eastAsia" w:ascii="方正小标宋_GBK" w:hAnsi="方正小标宋_GBK" w:eastAsia="方正小标宋_GBK" w:cs="方正小标宋_GBK"/>
          <w:sz w:val="84"/>
          <w:szCs w:val="84"/>
        </w:rPr>
      </w:pPr>
    </w:p>
    <w:p w14:paraId="1095DEAB">
      <w:pPr>
        <w:pStyle w:val="12"/>
        <w:jc w:val="center"/>
        <w:rPr>
          <w:rFonts w:hint="eastAsia" w:ascii="方正小标宋_GBK" w:hAnsi="方正小标宋_GBK" w:eastAsia="方正小标宋_GBK" w:cs="方正小标宋_GBK"/>
          <w:sz w:val="84"/>
          <w:szCs w:val="84"/>
        </w:rPr>
      </w:pPr>
    </w:p>
    <w:p w14:paraId="0DEEC24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C6A94F8">
      <w:pPr>
        <w:pStyle w:val="12"/>
        <w:jc w:val="center"/>
        <w:rPr>
          <w:rFonts w:hint="eastAsia" w:ascii="方正小标宋_GBK" w:hAnsi="方正小标宋_GBK" w:eastAsia="方正小标宋_GBK" w:cs="方正小标宋_GBK"/>
          <w:sz w:val="84"/>
          <w:szCs w:val="84"/>
        </w:rPr>
      </w:pPr>
    </w:p>
    <w:p w14:paraId="5EF69A9D">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岳阳市中医医院</w:t>
      </w:r>
      <w:r>
        <w:rPr>
          <w:rFonts w:hint="eastAsia" w:ascii="方正小标宋_GBK" w:hAnsi="方正小标宋_GBK" w:eastAsia="方正小标宋_GBK" w:cs="方正小标宋_GBK"/>
          <w:sz w:val="84"/>
          <w:szCs w:val="84"/>
          <w:lang w:eastAsia="zh-CN"/>
        </w:rPr>
        <w:t>部门</w:t>
      </w:r>
      <w:r>
        <w:rPr>
          <w:rFonts w:hint="eastAsia" w:ascii="方正小标宋_GBK" w:hAnsi="方正小标宋_GBK" w:eastAsia="方正小标宋_GBK" w:cs="方正小标宋_GBK"/>
          <w:sz w:val="84"/>
          <w:szCs w:val="84"/>
        </w:rPr>
        <w:t>概况</w:t>
      </w:r>
    </w:p>
    <w:p w14:paraId="77A0C778">
      <w:pPr>
        <w:pStyle w:val="7"/>
        <w:rPr>
          <w:rFonts w:hint="eastAsia" w:ascii="方正小标宋_GBK" w:hAnsi="方正小标宋_GBK" w:eastAsia="方正小标宋_GBK" w:cs="方正小标宋_GBK"/>
          <w:sz w:val="84"/>
          <w:szCs w:val="84"/>
        </w:rPr>
      </w:pPr>
    </w:p>
    <w:p w14:paraId="397AC3FB">
      <w:pPr>
        <w:pStyle w:val="3"/>
        <w:rPr>
          <w:rFonts w:hint="eastAsia" w:ascii="方正小标宋_GBK" w:hAnsi="方正小标宋_GBK" w:eastAsia="方正小标宋_GBK" w:cs="方正小标宋_GBK"/>
          <w:sz w:val="84"/>
          <w:szCs w:val="84"/>
        </w:rPr>
      </w:pPr>
    </w:p>
    <w:p w14:paraId="13F2C40A">
      <w:pPr>
        <w:rPr>
          <w:rFonts w:hint="eastAsia" w:ascii="方正小标宋_GBK" w:hAnsi="方正小标宋_GBK" w:eastAsia="方正小标宋_GBK" w:cs="方正小标宋_GBK"/>
          <w:sz w:val="84"/>
          <w:szCs w:val="84"/>
        </w:rPr>
      </w:pPr>
    </w:p>
    <w:p w14:paraId="128B0AE2">
      <w:pPr>
        <w:pStyle w:val="7"/>
        <w:rPr>
          <w:rFonts w:hint="eastAsia" w:ascii="方正小标宋_GBK" w:hAnsi="方正小标宋_GBK" w:eastAsia="方正小标宋_GBK" w:cs="方正小标宋_GBK"/>
          <w:sz w:val="84"/>
          <w:szCs w:val="84"/>
        </w:rPr>
      </w:pPr>
    </w:p>
    <w:p w14:paraId="1469560B">
      <w:pPr>
        <w:pStyle w:val="3"/>
        <w:rPr>
          <w:rFonts w:hint="eastAsia" w:ascii="方正小标宋_GBK" w:hAnsi="方正小标宋_GBK" w:eastAsia="方正小标宋_GBK" w:cs="方正小标宋_GBK"/>
          <w:sz w:val="84"/>
          <w:szCs w:val="84"/>
        </w:rPr>
      </w:pPr>
    </w:p>
    <w:p w14:paraId="61F39450">
      <w:pPr>
        <w:pStyle w:val="13"/>
        <w:numPr>
          <w:ilvl w:val="0"/>
          <w:numId w:val="1"/>
        </w:numPr>
        <w:ind w:firstLineChars="0"/>
        <w:jc w:val="left"/>
        <w:rPr>
          <w:rFonts w:hint="eastAsia" w:ascii="黑体" w:hAnsi="黑体" w:eastAsia="黑体" w:cs="黑体"/>
          <w:sz w:val="32"/>
          <w:szCs w:val="32"/>
        </w:rPr>
      </w:pPr>
      <w:r>
        <w:rPr>
          <w:rFonts w:hint="eastAsia" w:ascii="黑体" w:hAnsi="黑体" w:eastAsia="黑体" w:cs="黑体"/>
          <w:sz w:val="32"/>
          <w:szCs w:val="32"/>
        </w:rPr>
        <w:t>部门职责</w:t>
      </w:r>
    </w:p>
    <w:p w14:paraId="77D3A6B1">
      <w:pPr>
        <w:adjustRightInd w:val="0"/>
        <w:snapToGrid w:val="0"/>
        <w:spacing w:line="540" w:lineRule="atLeast"/>
        <w:ind w:firstLine="425" w:firstLineChars="133"/>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（一）贯彻执行国民健康政策及国家和省关于卫生健康工作和中医药工作的方针政策和法律法规，拟订并组织实施全市中医药工作政策、规划建议稿，组织实施国家、省、市卫生健康地方标准和技术规范。</w:t>
      </w:r>
    </w:p>
    <w:p w14:paraId="10493618">
      <w:pPr>
        <w:adjustRightInd w:val="0"/>
        <w:snapToGrid w:val="0"/>
        <w:spacing w:line="540" w:lineRule="atLeast"/>
        <w:ind w:firstLine="425" w:firstLineChars="133"/>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二）主动推进全市深化医药卫生体制改革，研究提出全市深化中医药医疗机构体制改革政策、措施的建议。推进管办分离，建立健全现代医院管理制度。按主管单位要求组织实施推动卫生健康公共服务提供主体多元化、提供方式多样化的政策措施，提出医疗服务和药品价格政策的建议。</w:t>
      </w:r>
    </w:p>
    <w:p w14:paraId="7C4BBF8C">
      <w:pPr>
        <w:adjustRightInd w:val="0"/>
        <w:snapToGrid w:val="0"/>
        <w:spacing w:line="540" w:lineRule="atLeast"/>
        <w:ind w:firstLine="425" w:firstLineChars="133"/>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三）组织落实责任范围内的疾病预防控制、免疫以及严重危害人民健康公共卫生问题的干预措施。负责医院卫生应急工作，组织指导医院突发公共卫生事件预防控制和各类突发公共事件的医疗卫生救援。承担传染病疫情信息上报工作，发布医院突发公共卫生事件应急处置信息。</w:t>
      </w:r>
    </w:p>
    <w:p w14:paraId="3CB46655">
      <w:pPr>
        <w:adjustRightInd w:val="0"/>
        <w:snapToGrid w:val="0"/>
        <w:spacing w:line="540" w:lineRule="atLeast"/>
        <w:ind w:firstLine="425" w:firstLineChars="133"/>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（四）配合市卫生健康委员会组织应对人口老龄化政策措施，推进老年健康服务体系建设、医养结合和中医药养生工作。</w:t>
      </w:r>
    </w:p>
    <w:p w14:paraId="72E6ED78">
      <w:pPr>
        <w:adjustRightInd w:val="0"/>
        <w:snapToGrid w:val="0"/>
        <w:spacing w:line="540" w:lineRule="atLeast"/>
        <w:ind w:firstLine="425" w:firstLineChars="133"/>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（五）贯彻执行国家药物政策和国家基本药物制度，对医院进行药品使用监测、临床综合评价和短缺药品预警。组织开展医院食安全风险监测，负责医院食源性疾病及与食品安全事故有关的流行病学调查。</w:t>
      </w:r>
    </w:p>
    <w:p w14:paraId="7489C4D4">
      <w:pPr>
        <w:adjustRightInd w:val="0"/>
        <w:snapToGrid w:val="0"/>
        <w:spacing w:line="540" w:lineRule="atLeast"/>
        <w:ind w:firstLine="425" w:firstLineChars="133"/>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（六）负责职责范围内的职业卫生、放射卫生、环境卫生学校卫生、公共场所卫生、饮用水卫生等公共卫生的管理和传染病防治，健全医院卫生健康综合监督体系。</w:t>
      </w:r>
    </w:p>
    <w:p w14:paraId="4CFD0596">
      <w:pPr>
        <w:adjustRightInd w:val="0"/>
        <w:snapToGrid w:val="0"/>
        <w:spacing w:line="540" w:lineRule="atLeast"/>
        <w:ind w:firstLine="425" w:firstLineChars="133"/>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七）制定医院章程并组织实施，加强医院医疗服务评价和管理体系建设。会同有关部门实施卫生健康专业技术人员资格标准。制定并组织实施医院的医疗服务规范、标准和卫生健康专业技术人员执业规则、服务规范。加强全科医生队伍建设。</w:t>
      </w:r>
    </w:p>
    <w:p w14:paraId="19A303C3">
      <w:pPr>
        <w:adjustRightInd w:val="0"/>
        <w:snapToGrid w:val="0"/>
        <w:spacing w:line="540" w:lineRule="atLeast"/>
        <w:ind w:firstLine="425" w:firstLineChars="133"/>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八）负责中医药健康教育、健康促进和卫生健康信息化建设等工作。组织实施中医药交流合作与援外工作。按上级要求负责市保健对象在中医药方面的医疗保健工作和重要来宾重要会议与重大活动的医疗卫生保障工作，牵头指导全市中医药养生和保健工作。</w:t>
      </w:r>
    </w:p>
    <w:p w14:paraId="4DC1A9F1">
      <w:pPr>
        <w:adjustRightInd w:val="0"/>
        <w:snapToGrid w:val="0"/>
        <w:spacing w:line="540" w:lineRule="atLeast"/>
        <w:ind w:firstLine="425" w:firstLineChars="133"/>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（九）牢固树立大卫生、大健康理念，加快医院职能转变，以改革创新为动力，把以治病为中心转变到以人民健康为中心，为人民群众提供全方位全周期健康服务。</w:t>
      </w:r>
    </w:p>
    <w:p w14:paraId="61C3CFCD">
      <w:pPr>
        <w:adjustRightInd w:val="0"/>
        <w:snapToGrid w:val="0"/>
        <w:spacing w:line="540" w:lineRule="atLeast"/>
        <w:ind w:firstLine="425" w:firstLineChars="133"/>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（十）完成市委、市政府和市卫生健康委员会交办的其他事项。</w:t>
      </w:r>
    </w:p>
    <w:p w14:paraId="0569D96B">
      <w:pPr>
        <w:widowControl/>
        <w:spacing w:line="600" w:lineRule="exact"/>
        <w:ind w:left="1" w:firstLine="563" w:firstLineChars="176"/>
        <w:rPr>
          <w:rFonts w:hint="eastAsia"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14:paraId="40918A3E">
      <w:pPr>
        <w:widowControl/>
        <w:spacing w:line="600" w:lineRule="exact"/>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p>
    <w:p w14:paraId="1C00AE98">
      <w:pPr>
        <w:adjustRightInd w:val="0"/>
        <w:snapToGrid w:val="0"/>
        <w:spacing w:line="540" w:lineRule="atLeast"/>
        <w:ind w:firstLine="640" w:firstLineChars="200"/>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岳阳市中医医院内设机构包括：办公室（保健服务科）、医务部（医疗行风办）、护理部、</w:t>
      </w:r>
      <w:r>
        <w:rPr>
          <w:rFonts w:hint="eastAsia" w:ascii="Times New Roman" w:hAnsi="Times New Roman" w:eastAsia="仿宋_GB2312" w:cs="黑体"/>
          <w:color w:val="000000"/>
          <w:kern w:val="0"/>
          <w:sz w:val="32"/>
          <w:szCs w:val="32"/>
          <w:lang w:eastAsia="zh-CN"/>
        </w:rPr>
        <w:t>组织人事部</w:t>
      </w:r>
      <w:r>
        <w:rPr>
          <w:rFonts w:hint="eastAsia" w:ascii="Times New Roman" w:hAnsi="Times New Roman" w:eastAsia="仿宋_GB2312" w:cs="黑体"/>
          <w:color w:val="000000"/>
          <w:kern w:val="0"/>
          <w:sz w:val="32"/>
          <w:szCs w:val="32"/>
        </w:rPr>
        <w:t>（绩效考核办）、财务</w:t>
      </w:r>
      <w:r>
        <w:rPr>
          <w:rFonts w:hint="eastAsia" w:ascii="Times New Roman" w:hAnsi="Times New Roman" w:eastAsia="仿宋_GB2312" w:cs="黑体"/>
          <w:color w:val="000000"/>
          <w:kern w:val="0"/>
          <w:sz w:val="32"/>
          <w:szCs w:val="32"/>
          <w:lang w:eastAsia="zh-CN"/>
        </w:rPr>
        <w:t>部</w:t>
      </w:r>
      <w:r>
        <w:rPr>
          <w:rFonts w:hint="eastAsia" w:ascii="Times New Roman" w:hAnsi="Times New Roman" w:eastAsia="仿宋_GB2312" w:cs="黑体"/>
          <w:color w:val="000000"/>
          <w:kern w:val="0"/>
          <w:sz w:val="32"/>
          <w:szCs w:val="32"/>
        </w:rPr>
        <w:t>、药学部、</w:t>
      </w:r>
      <w:r>
        <w:rPr>
          <w:rFonts w:hint="eastAsia" w:ascii="Times New Roman" w:hAnsi="Times New Roman" w:eastAsia="仿宋_GB2312" w:cs="黑体"/>
          <w:color w:val="000000"/>
          <w:kern w:val="0"/>
          <w:sz w:val="32"/>
          <w:szCs w:val="32"/>
          <w:lang w:eastAsia="zh-CN"/>
        </w:rPr>
        <w:t>医学装备部</w:t>
      </w:r>
      <w:r>
        <w:rPr>
          <w:rFonts w:hint="eastAsia" w:ascii="Times New Roman" w:hAnsi="Times New Roman" w:eastAsia="仿宋_GB2312" w:cs="黑体"/>
          <w:color w:val="000000"/>
          <w:kern w:val="0"/>
          <w:sz w:val="32"/>
          <w:szCs w:val="32"/>
        </w:rPr>
        <w:t>、后勤</w:t>
      </w:r>
      <w:r>
        <w:rPr>
          <w:rFonts w:hint="eastAsia" w:ascii="Times New Roman" w:hAnsi="Times New Roman" w:eastAsia="仿宋_GB2312" w:cs="黑体"/>
          <w:color w:val="000000"/>
          <w:kern w:val="0"/>
          <w:sz w:val="32"/>
          <w:szCs w:val="32"/>
          <w:lang w:eastAsia="zh-CN"/>
        </w:rPr>
        <w:t>服务部</w:t>
      </w:r>
      <w:r>
        <w:rPr>
          <w:rFonts w:hint="eastAsia" w:ascii="Times New Roman" w:hAnsi="Times New Roman" w:eastAsia="仿宋_GB2312" w:cs="黑体"/>
          <w:color w:val="000000"/>
          <w:kern w:val="0"/>
          <w:sz w:val="32"/>
          <w:szCs w:val="32"/>
        </w:rPr>
        <w:t>、审计</w:t>
      </w:r>
      <w:r>
        <w:rPr>
          <w:rFonts w:hint="eastAsia" w:ascii="Times New Roman" w:hAnsi="Times New Roman" w:eastAsia="仿宋_GB2312" w:cs="黑体"/>
          <w:color w:val="000000"/>
          <w:kern w:val="0"/>
          <w:sz w:val="32"/>
          <w:szCs w:val="32"/>
          <w:lang w:eastAsia="zh-CN"/>
        </w:rPr>
        <w:t>部</w:t>
      </w:r>
      <w:r>
        <w:rPr>
          <w:rFonts w:hint="eastAsia" w:ascii="Times New Roman" w:hAnsi="Times New Roman" w:eastAsia="仿宋_GB2312" w:cs="黑体"/>
          <w:color w:val="000000"/>
          <w:kern w:val="0"/>
          <w:sz w:val="32"/>
          <w:szCs w:val="32"/>
        </w:rPr>
        <w:t>、</w:t>
      </w:r>
      <w:r>
        <w:rPr>
          <w:rFonts w:hint="eastAsia" w:ascii="Times New Roman" w:hAnsi="Times New Roman" w:eastAsia="仿宋_GB2312" w:cs="黑体"/>
          <w:color w:val="000000"/>
          <w:kern w:val="0"/>
          <w:sz w:val="32"/>
          <w:szCs w:val="32"/>
          <w:lang w:eastAsia="zh-CN"/>
        </w:rPr>
        <w:t>医疗保险部</w:t>
      </w:r>
      <w:r>
        <w:rPr>
          <w:rFonts w:hint="eastAsia" w:ascii="Times New Roman" w:hAnsi="Times New Roman" w:eastAsia="仿宋_GB2312" w:cs="黑体"/>
          <w:color w:val="000000"/>
          <w:kern w:val="0"/>
          <w:sz w:val="32"/>
          <w:szCs w:val="32"/>
        </w:rPr>
        <w:t>、科教</w:t>
      </w:r>
      <w:r>
        <w:rPr>
          <w:rFonts w:hint="eastAsia" w:ascii="Times New Roman" w:hAnsi="Times New Roman" w:eastAsia="仿宋_GB2312" w:cs="黑体"/>
          <w:color w:val="000000"/>
          <w:kern w:val="0"/>
          <w:sz w:val="32"/>
          <w:szCs w:val="32"/>
          <w:lang w:eastAsia="zh-CN"/>
        </w:rPr>
        <w:t>部</w:t>
      </w:r>
      <w:r>
        <w:rPr>
          <w:rFonts w:hint="eastAsia" w:ascii="Times New Roman" w:hAnsi="Times New Roman" w:eastAsia="仿宋_GB2312" w:cs="黑体"/>
          <w:color w:val="000000"/>
          <w:kern w:val="0"/>
          <w:sz w:val="32"/>
          <w:szCs w:val="32"/>
        </w:rPr>
        <w:t>、</w:t>
      </w:r>
      <w:r>
        <w:rPr>
          <w:rFonts w:hint="eastAsia" w:ascii="Times New Roman" w:hAnsi="Times New Roman" w:eastAsia="仿宋_GB2312" w:cs="黑体"/>
          <w:color w:val="000000"/>
          <w:kern w:val="0"/>
          <w:sz w:val="32"/>
          <w:szCs w:val="32"/>
          <w:lang w:eastAsia="zh-CN"/>
        </w:rPr>
        <w:t>医院感染管理部</w:t>
      </w:r>
      <w:r>
        <w:rPr>
          <w:rFonts w:hint="eastAsia" w:ascii="Times New Roman" w:hAnsi="Times New Roman" w:eastAsia="仿宋_GB2312" w:cs="黑体"/>
          <w:color w:val="000000"/>
          <w:kern w:val="0"/>
          <w:sz w:val="32"/>
          <w:szCs w:val="32"/>
        </w:rPr>
        <w:t>、</w:t>
      </w:r>
      <w:r>
        <w:rPr>
          <w:rFonts w:hint="eastAsia" w:ascii="Times New Roman" w:hAnsi="Times New Roman" w:eastAsia="仿宋_GB2312" w:cs="黑体"/>
          <w:color w:val="000000"/>
          <w:kern w:val="0"/>
          <w:sz w:val="32"/>
          <w:szCs w:val="32"/>
          <w:lang w:eastAsia="zh-CN"/>
        </w:rPr>
        <w:t>公共卫生科</w:t>
      </w:r>
      <w:r>
        <w:rPr>
          <w:rFonts w:hint="eastAsia" w:ascii="Times New Roman" w:hAnsi="Times New Roman" w:eastAsia="仿宋_GB2312" w:cs="黑体"/>
          <w:color w:val="000000"/>
          <w:kern w:val="0"/>
          <w:sz w:val="32"/>
          <w:szCs w:val="32"/>
        </w:rPr>
        <w:t>、事业发展部（加挂医疗联合体办公室、扶贫办公室）、病案统计</w:t>
      </w:r>
      <w:r>
        <w:rPr>
          <w:rFonts w:hint="eastAsia" w:ascii="Times New Roman" w:hAnsi="Times New Roman" w:eastAsia="仿宋_GB2312" w:cs="黑体"/>
          <w:color w:val="000000"/>
          <w:kern w:val="0"/>
          <w:sz w:val="32"/>
          <w:szCs w:val="32"/>
          <w:lang w:eastAsia="zh-CN"/>
        </w:rPr>
        <w:t>部</w:t>
      </w:r>
      <w:r>
        <w:rPr>
          <w:rFonts w:hint="eastAsia" w:ascii="Times New Roman" w:hAnsi="Times New Roman" w:eastAsia="仿宋_GB2312" w:cs="黑体"/>
          <w:color w:val="000000"/>
          <w:kern w:val="0"/>
          <w:sz w:val="32"/>
          <w:szCs w:val="32"/>
        </w:rPr>
        <w:t>、信息</w:t>
      </w:r>
      <w:r>
        <w:rPr>
          <w:rFonts w:hint="eastAsia" w:ascii="Times New Roman" w:hAnsi="Times New Roman" w:eastAsia="仿宋_GB2312" w:cs="黑体"/>
          <w:color w:val="000000"/>
          <w:kern w:val="0"/>
          <w:sz w:val="32"/>
          <w:szCs w:val="32"/>
          <w:lang w:eastAsia="zh-CN"/>
        </w:rPr>
        <w:t>工程部</w:t>
      </w:r>
      <w:r>
        <w:rPr>
          <w:rFonts w:hint="eastAsia" w:ascii="Times New Roman" w:hAnsi="Times New Roman" w:eastAsia="仿宋_GB2312" w:cs="黑体"/>
          <w:color w:val="000000"/>
          <w:kern w:val="0"/>
          <w:sz w:val="32"/>
          <w:szCs w:val="32"/>
        </w:rPr>
        <w:t>、门诊部、中医药传承创新研究室、宣传</w:t>
      </w:r>
      <w:r>
        <w:rPr>
          <w:rFonts w:hint="eastAsia" w:ascii="Times New Roman" w:hAnsi="Times New Roman" w:eastAsia="仿宋_GB2312" w:cs="黑体"/>
          <w:color w:val="000000"/>
          <w:kern w:val="0"/>
          <w:sz w:val="32"/>
          <w:szCs w:val="32"/>
          <w:lang w:eastAsia="zh-CN"/>
        </w:rPr>
        <w:t>统战部</w:t>
      </w:r>
      <w:r>
        <w:rPr>
          <w:rFonts w:hint="eastAsia" w:ascii="Times New Roman" w:hAnsi="Times New Roman" w:eastAsia="仿宋_GB2312" w:cs="黑体"/>
          <w:color w:val="000000"/>
          <w:kern w:val="0"/>
          <w:sz w:val="32"/>
          <w:szCs w:val="32"/>
        </w:rPr>
        <w:t>、安全保卫</w:t>
      </w:r>
      <w:r>
        <w:rPr>
          <w:rFonts w:hint="eastAsia" w:ascii="Times New Roman" w:hAnsi="Times New Roman" w:eastAsia="仿宋_GB2312" w:cs="黑体"/>
          <w:color w:val="000000"/>
          <w:kern w:val="0"/>
          <w:sz w:val="32"/>
          <w:szCs w:val="32"/>
          <w:lang w:eastAsia="zh-CN"/>
        </w:rPr>
        <w:t>部</w:t>
      </w:r>
      <w:r>
        <w:rPr>
          <w:rFonts w:hint="eastAsia" w:ascii="Times New Roman" w:hAnsi="Times New Roman" w:eastAsia="仿宋_GB2312" w:cs="黑体"/>
          <w:color w:val="000000"/>
          <w:kern w:val="0"/>
          <w:sz w:val="32"/>
          <w:szCs w:val="32"/>
        </w:rPr>
        <w:t>（加挂医疗纠纷处置办公室）</w:t>
      </w:r>
    </w:p>
    <w:p w14:paraId="5DD02404">
      <w:pPr>
        <w:widowControl/>
        <w:spacing w:line="600" w:lineRule="exact"/>
        <w:rPr>
          <w:rFonts w:hint="eastAsia" w:ascii="Times New Roman" w:hAnsi="Times New Roman" w:eastAsia="仿宋_GB2312" w:cs="仿宋_GB2312"/>
          <w:bCs/>
          <w:kern w:val="0"/>
          <w:sz w:val="32"/>
          <w:szCs w:val="32"/>
        </w:rPr>
      </w:pPr>
    </w:p>
    <w:p w14:paraId="2808AB75">
      <w:pPr>
        <w:widowControl/>
        <w:spacing w:line="600" w:lineRule="exact"/>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p>
    <w:p w14:paraId="0F7DB75C">
      <w:pPr>
        <w:widowControl/>
        <w:spacing w:line="600" w:lineRule="exact"/>
        <w:ind w:firstLine="707" w:firstLineChars="221"/>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本单位无独立核算的下属单位，202</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年度部门决算汇总公开单位仅包括岳阳市中医医院本级。</w:t>
      </w:r>
    </w:p>
    <w:p w14:paraId="55D2395E"/>
    <w:p w14:paraId="3CE56614">
      <w:pPr>
        <w:pStyle w:val="7"/>
      </w:pPr>
    </w:p>
    <w:p w14:paraId="70B4D569">
      <w:pPr>
        <w:pStyle w:val="3"/>
      </w:pPr>
    </w:p>
    <w:p w14:paraId="5B1D6CBC">
      <w:bookmarkStart w:id="0" w:name="_GoBack"/>
      <w:bookmarkEnd w:id="0"/>
    </w:p>
    <w:p w14:paraId="7D6C31E4">
      <w:pPr>
        <w:pStyle w:val="7"/>
      </w:pPr>
    </w:p>
    <w:p w14:paraId="056E4ECA">
      <w:pPr>
        <w:pStyle w:val="3"/>
      </w:pPr>
    </w:p>
    <w:p w14:paraId="3288C9C5"/>
    <w:p w14:paraId="14507043">
      <w:pPr>
        <w:pStyle w:val="7"/>
      </w:pPr>
    </w:p>
    <w:p w14:paraId="465EA8BD">
      <w:pPr>
        <w:pStyle w:val="3"/>
      </w:pPr>
    </w:p>
    <w:p w14:paraId="49E51758"/>
    <w:p w14:paraId="3DC8C6CD">
      <w:pPr>
        <w:pStyle w:val="7"/>
      </w:pPr>
    </w:p>
    <w:p w14:paraId="36E702E5">
      <w:pPr>
        <w:pStyle w:val="3"/>
      </w:pPr>
    </w:p>
    <w:p w14:paraId="0416550A"/>
    <w:p w14:paraId="28B49BCE">
      <w:pPr>
        <w:pStyle w:val="7"/>
      </w:pPr>
    </w:p>
    <w:p w14:paraId="43291855">
      <w:pPr>
        <w:pStyle w:val="3"/>
      </w:pPr>
    </w:p>
    <w:p w14:paraId="7CD92489"/>
    <w:p w14:paraId="5267F12B">
      <w:pPr>
        <w:pStyle w:val="7"/>
      </w:pPr>
    </w:p>
    <w:p w14:paraId="28828498">
      <w:pPr>
        <w:pStyle w:val="3"/>
      </w:pPr>
    </w:p>
    <w:p w14:paraId="04E62672"/>
    <w:p w14:paraId="1D6D7A8B">
      <w:pPr>
        <w:pStyle w:val="7"/>
      </w:pPr>
    </w:p>
    <w:p w14:paraId="2E47952B">
      <w:pPr>
        <w:pStyle w:val="3"/>
      </w:pPr>
    </w:p>
    <w:p w14:paraId="18A19BE5"/>
    <w:p w14:paraId="7CCBF86D">
      <w:pPr>
        <w:pStyle w:val="7"/>
      </w:pPr>
    </w:p>
    <w:p w14:paraId="0017F5EC">
      <w:pPr>
        <w:pStyle w:val="3"/>
      </w:pPr>
    </w:p>
    <w:p w14:paraId="76181D4E"/>
    <w:p w14:paraId="1A174866">
      <w:pPr>
        <w:pStyle w:val="12"/>
        <w:jc w:val="center"/>
        <w:rPr>
          <w:rFonts w:hint="eastAsia" w:ascii="方正小标宋_GBK" w:hAnsi="方正小标宋_GBK" w:eastAsia="方正小标宋_GBK" w:cs="方正小标宋_GBK"/>
          <w:sz w:val="84"/>
          <w:szCs w:val="84"/>
        </w:rPr>
      </w:pPr>
    </w:p>
    <w:p w14:paraId="2B49F2B7">
      <w:pPr>
        <w:pStyle w:val="12"/>
        <w:jc w:val="center"/>
        <w:rPr>
          <w:rFonts w:hint="eastAsia" w:ascii="方正小标宋_GBK" w:hAnsi="方正小标宋_GBK" w:eastAsia="方正小标宋_GBK" w:cs="方正小标宋_GBK"/>
          <w:sz w:val="84"/>
          <w:szCs w:val="84"/>
        </w:rPr>
      </w:pPr>
    </w:p>
    <w:p w14:paraId="661BBFC8">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FB02ED5">
      <w:pPr>
        <w:pStyle w:val="12"/>
        <w:jc w:val="center"/>
        <w:rPr>
          <w:rFonts w:hint="eastAsia" w:ascii="方正小标宋_GBK" w:hAnsi="方正小标宋_GBK" w:eastAsia="方正小标宋_GBK" w:cs="方正小标宋_GBK"/>
          <w:sz w:val="84"/>
          <w:szCs w:val="84"/>
        </w:rPr>
      </w:pPr>
    </w:p>
    <w:p w14:paraId="3860F185">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A5962C">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25AF5B5">
      <w:pPr>
        <w:pStyle w:val="12"/>
        <w:jc w:val="center"/>
        <w:rPr>
          <w:rFonts w:hint="eastAsia" w:ascii="仿宋_GB2312" w:hAnsi="仿宋_GB2312" w:eastAsia="仿宋_GB2312" w:cs="仿宋_GB2312"/>
          <w:b w:val="0"/>
          <w:bCs w:val="0"/>
          <w:sz w:val="72"/>
          <w:szCs w:val="72"/>
          <w:lang w:eastAsia="zh-CN"/>
        </w:rPr>
      </w:pPr>
    </w:p>
    <w:p w14:paraId="0568D1B8">
      <w:pPr>
        <w:pStyle w:val="12"/>
        <w:jc w:val="center"/>
        <w:rPr>
          <w:rFonts w:hint="eastAsia" w:ascii="仿宋_GB2312" w:hAnsi="仿宋_GB2312" w:eastAsia="仿宋_GB2312" w:cs="仿宋_GB2312"/>
          <w:b w:val="0"/>
          <w:bCs w:val="0"/>
          <w:sz w:val="72"/>
          <w:szCs w:val="72"/>
          <w:lang w:eastAsia="zh-CN"/>
        </w:rPr>
      </w:pPr>
    </w:p>
    <w:p w14:paraId="5C65B646">
      <w:pPr>
        <w:pStyle w:val="12"/>
        <w:jc w:val="center"/>
        <w:rPr>
          <w:rFonts w:hint="eastAsia" w:ascii="仿宋_GB2312" w:hAnsi="仿宋_GB2312" w:eastAsia="仿宋_GB2312" w:cs="仿宋_GB2312"/>
          <w:b w:val="0"/>
          <w:bCs w:val="0"/>
          <w:sz w:val="72"/>
          <w:szCs w:val="72"/>
          <w:lang w:eastAsia="zh-CN"/>
        </w:rPr>
      </w:pPr>
    </w:p>
    <w:p w14:paraId="62EA5E89">
      <w:pPr>
        <w:pStyle w:val="12"/>
        <w:jc w:val="center"/>
        <w:rPr>
          <w:rFonts w:hint="eastAsia" w:ascii="仿宋_GB2312" w:hAnsi="仿宋_GB2312" w:eastAsia="仿宋_GB2312" w:cs="仿宋_GB2312"/>
          <w:b w:val="0"/>
          <w:bCs w:val="0"/>
          <w:sz w:val="72"/>
          <w:szCs w:val="72"/>
          <w:lang w:eastAsia="zh-CN"/>
        </w:rPr>
      </w:pPr>
    </w:p>
    <w:p w14:paraId="63BFFD84">
      <w:pPr>
        <w:pStyle w:val="12"/>
        <w:jc w:val="center"/>
        <w:rPr>
          <w:rFonts w:hint="eastAsia" w:ascii="仿宋_GB2312" w:hAnsi="仿宋_GB2312" w:eastAsia="仿宋_GB2312" w:cs="仿宋_GB2312"/>
          <w:b w:val="0"/>
          <w:bCs w:val="0"/>
          <w:sz w:val="72"/>
          <w:szCs w:val="72"/>
          <w:lang w:eastAsia="zh-CN"/>
        </w:rPr>
      </w:pPr>
    </w:p>
    <w:p w14:paraId="4565BABE">
      <w:pPr>
        <w:pStyle w:val="12"/>
        <w:jc w:val="center"/>
        <w:rPr>
          <w:rFonts w:hint="eastAsia" w:ascii="仿宋_GB2312" w:hAnsi="仿宋_GB2312" w:eastAsia="仿宋_GB2312" w:cs="仿宋_GB2312"/>
          <w:b w:val="0"/>
          <w:bCs w:val="0"/>
          <w:sz w:val="72"/>
          <w:szCs w:val="72"/>
          <w:lang w:eastAsia="zh-CN"/>
        </w:rPr>
      </w:pPr>
    </w:p>
    <w:p w14:paraId="6EEAB3EF">
      <w:pPr>
        <w:pStyle w:val="12"/>
        <w:jc w:val="center"/>
        <w:rPr>
          <w:rFonts w:hint="eastAsia" w:ascii="仿宋_GB2312" w:hAnsi="仿宋_GB2312" w:eastAsia="仿宋_GB2312" w:cs="仿宋_GB2312"/>
          <w:b w:val="0"/>
          <w:bCs w:val="0"/>
          <w:sz w:val="72"/>
          <w:szCs w:val="72"/>
          <w:lang w:eastAsia="zh-CN"/>
        </w:rPr>
      </w:pPr>
    </w:p>
    <w:p w14:paraId="603C04A7">
      <w:pPr>
        <w:pStyle w:val="12"/>
        <w:jc w:val="center"/>
        <w:rPr>
          <w:rFonts w:hint="eastAsia" w:ascii="方正小标宋_GBK" w:hAnsi="方正小标宋_GBK" w:eastAsia="方正小标宋_GBK" w:cs="方正小标宋_GBK"/>
          <w:sz w:val="72"/>
          <w:szCs w:val="72"/>
        </w:rPr>
      </w:pPr>
    </w:p>
    <w:p w14:paraId="7A44A82E">
      <w:pPr>
        <w:pStyle w:val="12"/>
        <w:jc w:val="center"/>
        <w:rPr>
          <w:rFonts w:hint="eastAsia" w:ascii="方正小标宋_GBK" w:hAnsi="方正小标宋_GBK" w:eastAsia="方正小标宋_GBK" w:cs="方正小标宋_GBK"/>
          <w:sz w:val="72"/>
          <w:szCs w:val="72"/>
        </w:rPr>
      </w:pPr>
    </w:p>
    <w:p w14:paraId="06211665">
      <w:pPr>
        <w:pStyle w:val="12"/>
        <w:jc w:val="both"/>
        <w:rPr>
          <w:rFonts w:hint="eastAsia" w:ascii="方正小标宋_GBK" w:hAnsi="方正小标宋_GBK" w:eastAsia="方正小标宋_GBK" w:cs="方正小标宋_GBK"/>
          <w:sz w:val="72"/>
          <w:szCs w:val="72"/>
        </w:rPr>
      </w:pPr>
    </w:p>
    <w:p w14:paraId="7804FBAA">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D53C949">
      <w:pPr>
        <w:pStyle w:val="12"/>
        <w:jc w:val="center"/>
        <w:rPr>
          <w:rFonts w:hint="eastAsia" w:ascii="方正小标宋_GBK" w:hAnsi="方正小标宋_GBK" w:eastAsia="方正小标宋_GBK" w:cs="方正小标宋_GBK"/>
          <w:sz w:val="70"/>
          <w:szCs w:val="70"/>
        </w:rPr>
      </w:pPr>
    </w:p>
    <w:p w14:paraId="4F77A5A6">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14:paraId="17862F93">
      <w:pPr>
        <w:pStyle w:val="12"/>
        <w:jc w:val="center"/>
        <w:rPr>
          <w:rFonts w:hint="eastAsia" w:ascii="方正小标宋_GBK" w:hAnsi="方正小标宋_GBK" w:eastAsia="方正小标宋_GBK" w:cs="方正小标宋_GBK"/>
          <w:sz w:val="70"/>
          <w:szCs w:val="70"/>
        </w:rPr>
      </w:pPr>
    </w:p>
    <w:p w14:paraId="6EEC30AB">
      <w:pPr>
        <w:pStyle w:val="12"/>
        <w:jc w:val="center"/>
        <w:rPr>
          <w:rFonts w:hint="eastAsia" w:ascii="方正小标宋_GBK" w:hAnsi="方正小标宋_GBK" w:eastAsia="方正小标宋_GBK" w:cs="方正小标宋_GBK"/>
          <w:sz w:val="70"/>
          <w:szCs w:val="70"/>
        </w:rPr>
      </w:pPr>
    </w:p>
    <w:p w14:paraId="417367C1">
      <w:pPr>
        <w:pStyle w:val="12"/>
        <w:jc w:val="center"/>
        <w:rPr>
          <w:rFonts w:hint="eastAsia" w:ascii="方正小标宋_GBK" w:hAnsi="方正小标宋_GBK" w:eastAsia="方正小标宋_GBK" w:cs="方正小标宋_GBK"/>
          <w:sz w:val="70"/>
          <w:szCs w:val="70"/>
        </w:rPr>
      </w:pPr>
    </w:p>
    <w:p w14:paraId="514C0722">
      <w:pPr>
        <w:pStyle w:val="12"/>
        <w:jc w:val="both"/>
        <w:rPr>
          <w:rFonts w:hint="eastAsia" w:ascii="方正小标宋_GBK" w:hAnsi="方正小标宋_GBK" w:eastAsia="方正小标宋_GBK" w:cs="方正小标宋_GBK"/>
          <w:sz w:val="70"/>
          <w:szCs w:val="70"/>
        </w:rPr>
      </w:pPr>
    </w:p>
    <w:p w14:paraId="111D7AB8">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2411C08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CDCBAD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78319.52</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7657.15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10.84</w:t>
      </w:r>
      <w:r>
        <w:rPr>
          <w:rFonts w:hint="eastAsia" w:ascii="仿宋_GB2312" w:hAnsi="仿宋_GB2312" w:eastAsia="仿宋_GB2312" w:cs="仿宋_GB2312"/>
          <w:sz w:val="32"/>
          <w:szCs w:val="32"/>
        </w:rPr>
        <w:t>%，主要是因为</w:t>
      </w:r>
      <w:r>
        <w:rPr>
          <w:rFonts w:hint="eastAsia" w:ascii="Times New Roman" w:hAnsi="Times New Roman" w:eastAsia="仿宋_GB2312"/>
          <w:sz w:val="32"/>
          <w:szCs w:val="32"/>
        </w:rPr>
        <w:t>医疗收入稳步增长</w:t>
      </w:r>
      <w:r>
        <w:rPr>
          <w:rFonts w:hint="eastAsia" w:ascii="Times New Roman" w:hAnsi="Times New Roman" w:eastAsia="仿宋_GB2312"/>
          <w:sz w:val="32"/>
          <w:szCs w:val="32"/>
          <w:lang w:val="en-US" w:eastAsia="zh-CN"/>
        </w:rPr>
        <w:t>导致。</w:t>
      </w:r>
    </w:p>
    <w:p w14:paraId="07DA9E3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3128467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年度收入合计66013.34万元，其中：财政拨款收入1092.63万元，占</w:t>
      </w:r>
      <w:r>
        <w:rPr>
          <w:rFonts w:hint="eastAsia" w:ascii="仿宋_GB2312" w:hAnsi="仿宋_GB2312" w:eastAsia="仿宋_GB2312" w:cs="仿宋_GB2312"/>
          <w:sz w:val="32"/>
          <w:szCs w:val="32"/>
          <w:lang w:val="en-US" w:eastAsia="zh-CN"/>
        </w:rPr>
        <w:t>1.66</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%；事业收入63987.76万元，占</w:t>
      </w:r>
      <w:r>
        <w:rPr>
          <w:rFonts w:hint="eastAsia" w:ascii="仿宋_GB2312" w:hAnsi="仿宋_GB2312" w:eastAsia="仿宋_GB2312" w:cs="仿宋_GB2312"/>
          <w:sz w:val="32"/>
          <w:szCs w:val="32"/>
          <w:lang w:val="en-US" w:eastAsia="zh-CN"/>
        </w:rPr>
        <w:t>96.93</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932.94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1.41</w:t>
      </w:r>
      <w:r>
        <w:rPr>
          <w:rFonts w:hint="eastAsia" w:ascii="仿宋_GB2312" w:hAnsi="仿宋_GB2312" w:eastAsia="仿宋_GB2312" w:cs="仿宋_GB2312"/>
          <w:sz w:val="32"/>
          <w:szCs w:val="32"/>
        </w:rPr>
        <w:t>%。</w:t>
      </w:r>
    </w:p>
    <w:p w14:paraId="2D1A2B4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2822293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年度支出合计64817.89万元，其中：基本支出61593.12万元，占</w:t>
      </w:r>
      <w:r>
        <w:rPr>
          <w:rFonts w:hint="eastAsia" w:ascii="仿宋_GB2312" w:hAnsi="仿宋_GB2312" w:eastAsia="仿宋_GB2312" w:cs="仿宋_GB2312"/>
          <w:sz w:val="32"/>
          <w:szCs w:val="32"/>
          <w:lang w:val="en-US" w:eastAsia="zh-CN"/>
        </w:rPr>
        <w:t>95.02</w:t>
      </w:r>
      <w:r>
        <w:rPr>
          <w:rFonts w:hint="eastAsia" w:ascii="仿宋_GB2312" w:hAnsi="仿宋_GB2312" w:eastAsia="仿宋_GB2312" w:cs="仿宋_GB2312"/>
          <w:sz w:val="32"/>
          <w:szCs w:val="32"/>
        </w:rPr>
        <w:t>%；项目支出3224.76万元，占</w:t>
      </w:r>
      <w:r>
        <w:rPr>
          <w:rFonts w:hint="eastAsia" w:ascii="仿宋_GB2312" w:hAnsi="仿宋_GB2312" w:eastAsia="仿宋_GB2312" w:cs="仿宋_GB2312"/>
          <w:sz w:val="32"/>
          <w:szCs w:val="32"/>
          <w:lang w:val="en-US" w:eastAsia="zh-CN"/>
        </w:rPr>
        <w:t>4.98</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6985752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66F1CF47">
      <w:pPr>
        <w:pStyle w:val="12"/>
        <w:spacing w:line="600" w:lineRule="exact"/>
        <w:rPr>
          <w:rFonts w:hint="eastAsia" w:ascii="仿宋_GB2312" w:hAnsi="仿宋_GB2312" w:eastAsia="仿宋_GB2312" w:cs="仿宋_GB2312"/>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年度财政拨款收、支总计13398.82万元，与上年相比，减少</w:t>
      </w:r>
      <w:r>
        <w:rPr>
          <w:rFonts w:hint="eastAsia" w:ascii="仿宋_GB2312" w:hAnsi="仿宋_GB2312" w:eastAsia="仿宋_GB2312" w:cs="仿宋_GB2312"/>
          <w:sz w:val="32"/>
          <w:szCs w:val="32"/>
          <w:lang w:val="en-US" w:eastAsia="zh-CN"/>
        </w:rPr>
        <w:t>1958.59</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12.76</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主要是因为收到政府性债券资金比</w:t>
      </w:r>
      <w:r>
        <w:rPr>
          <w:rFonts w:ascii="Times New Roman" w:hAnsi="Times New Roman" w:eastAsia="仿宋_GB2312"/>
          <w:sz w:val="32"/>
          <w:szCs w:val="32"/>
        </w:rPr>
        <w:t>上年</w:t>
      </w:r>
      <w:r>
        <w:rPr>
          <w:rFonts w:hint="eastAsia" w:ascii="Times New Roman" w:hAnsi="Times New Roman" w:eastAsia="仿宋_GB2312"/>
          <w:sz w:val="32"/>
          <w:szCs w:val="32"/>
          <w:lang w:eastAsia="zh-CN"/>
        </w:rPr>
        <w:t>少</w:t>
      </w:r>
      <w:r>
        <w:rPr>
          <w:rFonts w:hint="eastAsia" w:ascii="Times New Roman" w:hAnsi="Times New Roman" w:eastAsia="仿宋_GB2312"/>
          <w:sz w:val="32"/>
          <w:szCs w:val="32"/>
        </w:rPr>
        <w:t>。</w:t>
      </w:r>
    </w:p>
    <w:p w14:paraId="4BB30A6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023283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76CAEDE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904.88</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1.40</w:t>
      </w:r>
      <w:r>
        <w:rPr>
          <w:rFonts w:hint="eastAsia" w:ascii="仿宋_GB2312" w:hAnsi="仿宋_GB2312" w:eastAsia="仿宋_GB2312" w:cs="仿宋_GB2312"/>
          <w:sz w:val="32"/>
          <w:szCs w:val="32"/>
        </w:rPr>
        <w:t>%，与上年相比，财政拨款支出减少</w:t>
      </w:r>
      <w:r>
        <w:rPr>
          <w:rFonts w:hint="eastAsia" w:ascii="仿宋_GB2312" w:hAnsi="仿宋_GB2312" w:eastAsia="仿宋_GB2312" w:cs="仿宋_GB2312"/>
          <w:sz w:val="32"/>
          <w:szCs w:val="32"/>
          <w:lang w:val="en-US" w:eastAsia="zh-CN"/>
        </w:rPr>
        <w:t>1939.64</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68.19</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卫生健康支出下降导致。</w:t>
      </w:r>
    </w:p>
    <w:p w14:paraId="66C54C8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00B560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904.88</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rPr>
        <w:t>主要用于以下方面：科学技术支出（类）支出</w:t>
      </w:r>
      <w:r>
        <w:rPr>
          <w:rFonts w:hint="eastAsia" w:ascii="Times New Roman" w:hAnsi="Times New Roman" w:eastAsia="仿宋_GB2312"/>
          <w:sz w:val="32"/>
          <w:szCs w:val="32"/>
          <w:lang w:val="en-US" w:eastAsia="zh-CN"/>
        </w:rPr>
        <w:t>11</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1.22</w:t>
      </w:r>
      <w:r>
        <w:rPr>
          <w:rFonts w:hint="eastAsia" w:ascii="Times New Roman" w:hAnsi="Times New Roman" w:eastAsia="仿宋_GB2312"/>
          <w:sz w:val="32"/>
          <w:szCs w:val="32"/>
        </w:rPr>
        <w:t>%；卫生健康支出（类）支出</w:t>
      </w:r>
      <w:r>
        <w:rPr>
          <w:rFonts w:hint="eastAsia" w:ascii="Times New Roman" w:hAnsi="Times New Roman" w:eastAsia="仿宋_GB2312"/>
          <w:sz w:val="32"/>
          <w:szCs w:val="32"/>
          <w:lang w:val="en-US" w:eastAsia="zh-CN"/>
        </w:rPr>
        <w:t>893.87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98.78</w:t>
      </w:r>
      <w:r>
        <w:rPr>
          <w:rFonts w:hint="eastAsia" w:ascii="Times New Roman" w:hAnsi="Times New Roman" w:eastAsia="仿宋_GB2312"/>
          <w:sz w:val="32"/>
          <w:szCs w:val="32"/>
        </w:rPr>
        <w:t>%。</w:t>
      </w:r>
    </w:p>
    <w:p w14:paraId="5CDBADF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B07DAE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1092.63</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904.88</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82.82</w:t>
      </w:r>
      <w:r>
        <w:rPr>
          <w:rFonts w:hint="eastAsia" w:ascii="仿宋_GB2312" w:hAnsi="仿宋_GB2312" w:eastAsia="仿宋_GB2312" w:cs="仿宋_GB2312"/>
          <w:sz w:val="32"/>
          <w:szCs w:val="32"/>
        </w:rPr>
        <w:t>%，其中：</w:t>
      </w:r>
    </w:p>
    <w:p w14:paraId="30AAFBB1">
      <w:pPr>
        <w:pStyle w:val="12"/>
        <w:keepNext w:val="0"/>
        <w:keepLines w:val="0"/>
        <w:pageBreakBefore w:val="0"/>
        <w:widowControl w:val="0"/>
        <w:numPr>
          <w:ilvl w:val="0"/>
          <w:numId w:val="0"/>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cs="黑体"/>
          <w:color w:val="000000"/>
          <w:kern w:val="0"/>
          <w:sz w:val="32"/>
          <w:szCs w:val="32"/>
          <w:lang w:val="en-US" w:eastAsia="zh-CN" w:bidi="ar-SA"/>
        </w:rPr>
        <w:t>1、</w:t>
      </w:r>
      <w:r>
        <w:rPr>
          <w:rFonts w:hint="eastAsia" w:ascii="Times New Roman" w:hAnsi="Times New Roman" w:eastAsia="仿宋_GB2312"/>
          <w:sz w:val="32"/>
          <w:szCs w:val="32"/>
        </w:rPr>
        <w:t>科学技术支出（类）基础研究（款）自然科学基金（项）。</w:t>
      </w:r>
    </w:p>
    <w:p w14:paraId="75236081">
      <w:pPr>
        <w:pStyle w:val="12"/>
        <w:keepNext w:val="0"/>
        <w:keepLines w:val="0"/>
        <w:pageBreakBefore w:val="0"/>
        <w:widowControl w:val="0"/>
        <w:numPr>
          <w:ilvl w:val="0"/>
          <w:numId w:val="0"/>
        </w:numPr>
        <w:kinsoku/>
        <w:wordWrap/>
        <w:overflowPunct/>
        <w:topLinePunct w:val="0"/>
        <w:bidi w:val="0"/>
        <w:snapToGrid/>
        <w:spacing w:line="600" w:lineRule="exact"/>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年初预算为</w:t>
      </w:r>
      <w:r>
        <w:rPr>
          <w:rFonts w:hint="eastAsia" w:ascii="仿宋_GB2312" w:hAnsi="仿宋_GB2312" w:eastAsia="仿宋_GB2312" w:cs="仿宋_GB2312"/>
          <w:sz w:val="32"/>
          <w:szCs w:val="32"/>
          <w:lang w:val="en-US" w:eastAsia="zh-CN"/>
        </w:rPr>
        <w:t>1</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rPr>
        <w:t>，决算</w:t>
      </w:r>
      <w:r>
        <w:rPr>
          <w:rFonts w:hint="eastAsia" w:ascii="Times New Roman" w:hAnsi="Times New Roman" w:eastAsia="仿宋_GB2312"/>
          <w:sz w:val="32"/>
          <w:szCs w:val="32"/>
          <w:lang w:val="en-US" w:eastAsia="zh-CN"/>
        </w:rPr>
        <w:t>等于</w:t>
      </w:r>
      <w:r>
        <w:rPr>
          <w:rFonts w:hint="eastAsia" w:ascii="Times New Roman" w:hAnsi="Times New Roman" w:eastAsia="仿宋_GB2312"/>
          <w:sz w:val="32"/>
          <w:szCs w:val="32"/>
        </w:rPr>
        <w:t>于年初预算数的主要原因是:</w:t>
      </w:r>
      <w:r>
        <w:rPr>
          <w:rFonts w:ascii="Times New Roman" w:hAnsi="Times New Roman" w:eastAsia="仿宋_GB2312"/>
          <w:sz w:val="32"/>
          <w:szCs w:val="32"/>
          <w:highlight w:val="none"/>
        </w:rPr>
        <w:t>严格执行预算</w:t>
      </w:r>
      <w:r>
        <w:rPr>
          <w:rFonts w:hint="eastAsia" w:ascii="Times New Roman" w:hAnsi="Times New Roman" w:eastAsia="仿宋_GB2312"/>
          <w:sz w:val="32"/>
          <w:szCs w:val="32"/>
          <w:highlight w:val="none"/>
        </w:rPr>
        <w:t>的</w:t>
      </w:r>
      <w:r>
        <w:rPr>
          <w:rFonts w:ascii="Times New Roman" w:hAnsi="Times New Roman" w:eastAsia="仿宋_GB2312"/>
          <w:sz w:val="32"/>
          <w:szCs w:val="32"/>
          <w:highlight w:val="none"/>
        </w:rPr>
        <w:t>结果</w:t>
      </w:r>
      <w:r>
        <w:rPr>
          <w:rFonts w:ascii="Times New Roman" w:hAnsi="Times New Roman" w:eastAsia="仿宋_GB2312"/>
          <w:sz w:val="32"/>
          <w:szCs w:val="32"/>
        </w:rPr>
        <w:t>。</w:t>
      </w:r>
    </w:p>
    <w:p w14:paraId="7AD2503C">
      <w:pPr>
        <w:pStyle w:val="12"/>
        <w:keepNext w:val="0"/>
        <w:keepLines w:val="0"/>
        <w:pageBreakBefore w:val="0"/>
        <w:widowControl w:val="0"/>
        <w:numPr>
          <w:ilvl w:val="0"/>
          <w:numId w:val="0"/>
        </w:numPr>
        <w:kinsoku/>
        <w:wordWrap/>
        <w:overflowPunct/>
        <w:topLinePunct w:val="0"/>
        <w:bidi w:val="0"/>
        <w:snapToGrid/>
        <w:spacing w:line="600" w:lineRule="exact"/>
        <w:ind w:left="0" w:leftChars="0"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cs="黑体"/>
          <w:color w:val="000000"/>
          <w:kern w:val="0"/>
          <w:sz w:val="32"/>
          <w:szCs w:val="32"/>
          <w:lang w:val="en-US" w:eastAsia="zh-CN" w:bidi="ar-SA"/>
        </w:rPr>
        <w:t>2、</w:t>
      </w:r>
      <w:r>
        <w:rPr>
          <w:rFonts w:hint="eastAsia" w:ascii="Times New Roman" w:hAnsi="Times New Roman" w:eastAsia="仿宋_GB2312"/>
          <w:sz w:val="32"/>
          <w:szCs w:val="32"/>
        </w:rPr>
        <w:t>科学技术支出（类）技术研究与开发（款）其他科学技术支出（项）。</w:t>
      </w:r>
    </w:p>
    <w:p w14:paraId="7A9BED55">
      <w:pPr>
        <w:pStyle w:val="12"/>
        <w:keepNext w:val="0"/>
        <w:keepLines w:val="0"/>
        <w:pageBreakBefore w:val="0"/>
        <w:widowControl w:val="0"/>
        <w:numPr>
          <w:ilvl w:val="0"/>
          <w:numId w:val="0"/>
        </w:numPr>
        <w:kinsoku/>
        <w:wordWrap/>
        <w:overflowPunct/>
        <w:topLinePunct w:val="0"/>
        <w:bidi w:val="0"/>
        <w:snapToGrid/>
        <w:spacing w:line="600" w:lineRule="exact"/>
        <w:textAlignment w:val="auto"/>
        <w:rPr>
          <w:rFonts w:ascii="Times New Roman" w:hAnsi="Times New Roman" w:eastAsia="仿宋_GB2312"/>
          <w:color w:val="auto"/>
          <w:sz w:val="32"/>
          <w:szCs w:val="32"/>
          <w:highlight w:val="none"/>
        </w:rPr>
      </w:pPr>
      <w:r>
        <w:rPr>
          <w:rFonts w:hint="eastAsia" w:ascii="Times New Roman" w:hAnsi="Times New Roman" w:eastAsia="仿宋_GB2312"/>
          <w:sz w:val="32"/>
          <w:szCs w:val="32"/>
        </w:rPr>
        <w:t>年初</w:t>
      </w:r>
      <w:r>
        <w:rPr>
          <w:rFonts w:hint="eastAsia" w:ascii="Times New Roman" w:hAnsi="Times New Roman" w:eastAsia="仿宋_GB2312"/>
          <w:color w:val="auto"/>
          <w:sz w:val="32"/>
          <w:szCs w:val="32"/>
        </w:rPr>
        <w:t>预算为</w:t>
      </w:r>
      <w:r>
        <w:rPr>
          <w:rFonts w:hint="eastAsia" w:ascii="仿宋_GB2312" w:hAnsi="仿宋_GB2312" w:eastAsia="仿宋_GB2312" w:cs="仿宋_GB2312"/>
          <w:color w:val="auto"/>
          <w:sz w:val="32"/>
          <w:szCs w:val="32"/>
          <w:lang w:val="en-US" w:eastAsia="zh-CN"/>
        </w:rPr>
        <w:t>10</w:t>
      </w:r>
      <w:r>
        <w:rPr>
          <w:rFonts w:hint="eastAsia" w:ascii="Times New Roman" w:hAnsi="Times New Roman" w:eastAsia="仿宋_GB2312"/>
          <w:color w:val="auto"/>
          <w:sz w:val="32"/>
          <w:szCs w:val="32"/>
          <w:highlight w:val="none"/>
        </w:rPr>
        <w:t>万元，支出决算为</w:t>
      </w:r>
      <w:r>
        <w:rPr>
          <w:rFonts w:hint="eastAsia" w:ascii="Times New Roman" w:hAnsi="Times New Roman" w:eastAsia="仿宋_GB2312"/>
          <w:color w:val="auto"/>
          <w:sz w:val="32"/>
          <w:szCs w:val="32"/>
          <w:highlight w:val="none"/>
          <w:lang w:val="en-US" w:eastAsia="zh-CN"/>
        </w:rPr>
        <w:t>10</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rPr>
        <w:t>完成年初预算的</w:t>
      </w:r>
      <w:r>
        <w:rPr>
          <w:rFonts w:hint="eastAsia" w:ascii="仿宋_GB2312" w:hAnsi="仿宋_GB2312" w:eastAsia="仿宋_GB2312" w:cs="仿宋_GB2312"/>
          <w:color w:val="auto"/>
          <w:sz w:val="32"/>
          <w:szCs w:val="32"/>
          <w:lang w:val="en-US" w:eastAsia="zh-CN"/>
        </w:rPr>
        <w:t>100</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rPr>
        <w:t>，决算</w:t>
      </w:r>
      <w:r>
        <w:rPr>
          <w:rFonts w:hint="eastAsia" w:ascii="Times New Roman" w:hAnsi="Times New Roman" w:eastAsia="仿宋_GB2312"/>
          <w:color w:val="auto"/>
          <w:sz w:val="32"/>
          <w:szCs w:val="32"/>
          <w:lang w:val="en-US" w:eastAsia="zh-CN"/>
        </w:rPr>
        <w:t>等于</w:t>
      </w:r>
      <w:r>
        <w:rPr>
          <w:rFonts w:hint="eastAsia" w:ascii="Times New Roman" w:hAnsi="Times New Roman" w:eastAsia="仿宋_GB2312"/>
          <w:color w:val="auto"/>
          <w:sz w:val="32"/>
          <w:szCs w:val="32"/>
        </w:rPr>
        <w:t>于年初预算数的主要原因是:</w:t>
      </w:r>
      <w:r>
        <w:rPr>
          <w:rFonts w:ascii="Times New Roman" w:hAnsi="Times New Roman" w:eastAsia="仿宋_GB2312"/>
          <w:color w:val="auto"/>
          <w:sz w:val="32"/>
          <w:szCs w:val="32"/>
          <w:highlight w:val="none"/>
        </w:rPr>
        <w:t>严格执行预算</w:t>
      </w:r>
      <w:r>
        <w:rPr>
          <w:rFonts w:hint="eastAsia" w:ascii="Times New Roman" w:hAnsi="Times New Roman" w:eastAsia="仿宋_GB2312"/>
          <w:color w:val="auto"/>
          <w:sz w:val="32"/>
          <w:szCs w:val="32"/>
          <w:highlight w:val="none"/>
        </w:rPr>
        <w:t>的</w:t>
      </w:r>
      <w:r>
        <w:rPr>
          <w:rFonts w:ascii="Times New Roman" w:hAnsi="Times New Roman" w:eastAsia="仿宋_GB2312"/>
          <w:color w:val="auto"/>
          <w:sz w:val="32"/>
          <w:szCs w:val="32"/>
          <w:highlight w:val="none"/>
        </w:rPr>
        <w:t>结果</w:t>
      </w:r>
      <w:r>
        <w:rPr>
          <w:rFonts w:ascii="Times New Roman" w:hAnsi="Times New Roman" w:eastAsia="仿宋_GB2312"/>
          <w:color w:val="auto"/>
          <w:sz w:val="32"/>
          <w:szCs w:val="32"/>
        </w:rPr>
        <w:t>。</w:t>
      </w:r>
    </w:p>
    <w:p w14:paraId="43DA3786">
      <w:pPr>
        <w:pStyle w:val="12"/>
        <w:numPr>
          <w:ilvl w:val="0"/>
          <w:numId w:val="0"/>
        </w:numPr>
        <w:spacing w:line="600" w:lineRule="exact"/>
        <w:ind w:left="0" w:leftChars="0" w:firstLine="800" w:firstLineChars="250"/>
        <w:rPr>
          <w:rFonts w:hint="eastAsia" w:ascii="Times New Roman" w:hAnsi="Times New Roman" w:eastAsia="仿宋_GB2312"/>
          <w:color w:val="auto"/>
          <w:sz w:val="32"/>
          <w:szCs w:val="32"/>
          <w:highlight w:val="none"/>
        </w:rPr>
      </w:pPr>
      <w:r>
        <w:rPr>
          <w:rFonts w:hint="eastAsia" w:ascii="Times New Roman" w:hAnsi="Times New Roman" w:eastAsia="仿宋_GB2312" w:cs="黑体"/>
          <w:color w:val="auto"/>
          <w:kern w:val="0"/>
          <w:sz w:val="32"/>
          <w:szCs w:val="32"/>
          <w:lang w:val="en-US" w:eastAsia="zh-CN" w:bidi="ar-SA"/>
        </w:rPr>
        <w:t>3、</w:t>
      </w:r>
      <w:r>
        <w:rPr>
          <w:rFonts w:hint="eastAsia" w:ascii="Times New Roman" w:hAnsi="Times New Roman" w:eastAsia="仿宋_GB2312"/>
          <w:color w:val="auto"/>
          <w:sz w:val="32"/>
          <w:szCs w:val="32"/>
        </w:rPr>
        <w:t>卫生健康支出（类）公立医院（款）中医（民族）医院（项）。年初预算为</w:t>
      </w:r>
      <w:r>
        <w:rPr>
          <w:rFonts w:hint="eastAsia" w:ascii="仿宋_GB2312" w:hAnsi="仿宋_GB2312" w:eastAsia="仿宋_GB2312" w:cs="仿宋_GB2312"/>
          <w:color w:val="auto"/>
          <w:sz w:val="32"/>
          <w:szCs w:val="32"/>
          <w:lang w:val="en-US" w:eastAsia="zh-CN"/>
        </w:rPr>
        <w:t>200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214.31</w:t>
      </w:r>
      <w:r>
        <w:rPr>
          <w:rFonts w:hint="eastAsia" w:ascii="Times New Roman" w:hAnsi="Times New Roman" w:eastAsia="仿宋_GB2312"/>
          <w:color w:val="auto"/>
          <w:sz w:val="32"/>
          <w:szCs w:val="32"/>
        </w:rPr>
        <w:t>万元，完成年初预算的</w:t>
      </w:r>
      <w:r>
        <w:rPr>
          <w:rFonts w:hint="eastAsia" w:ascii="仿宋_GB2312" w:hAnsi="仿宋_GB2312" w:eastAsia="仿宋_GB2312" w:cs="仿宋_GB2312"/>
          <w:color w:val="auto"/>
          <w:sz w:val="32"/>
          <w:szCs w:val="32"/>
          <w:lang w:val="en-US" w:eastAsia="zh-CN"/>
        </w:rPr>
        <w:t>107.16</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rPr>
        <w:t>决算数大于年初预算数的主要原因是:</w:t>
      </w:r>
      <w:r>
        <w:rPr>
          <w:rFonts w:hint="eastAsia" w:ascii="Times New Roman" w:hAnsi="Times New Roman" w:eastAsia="仿宋_GB2312"/>
          <w:color w:val="auto"/>
          <w:sz w:val="32"/>
          <w:szCs w:val="32"/>
          <w:highlight w:val="none"/>
        </w:rPr>
        <w:t>补充完成上年未完进度</w:t>
      </w:r>
      <w:r>
        <w:rPr>
          <w:rFonts w:ascii="Times New Roman" w:hAnsi="Times New Roman" w:eastAsia="仿宋_GB2312"/>
          <w:color w:val="auto"/>
          <w:sz w:val="32"/>
          <w:szCs w:val="32"/>
        </w:rPr>
        <w:t>。</w:t>
      </w:r>
    </w:p>
    <w:p w14:paraId="6761EE19">
      <w:pPr>
        <w:pStyle w:val="12"/>
        <w:spacing w:line="600" w:lineRule="exact"/>
        <w:ind w:firstLine="640" w:firstLineChars="200"/>
        <w:rPr>
          <w:rFonts w:hint="eastAsia" w:ascii="Times New Roman" w:hAnsi="Times New Roman" w:eastAsia="仿宋_GB2312"/>
          <w:sz w:val="32"/>
          <w:szCs w:val="32"/>
          <w:highlight w:val="none"/>
        </w:rPr>
      </w:pP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卫生健康支出（类）公立医院（款）其他公立医院支出（项）。</w:t>
      </w:r>
      <w:r>
        <w:rPr>
          <w:rFonts w:hint="eastAsia" w:ascii="Times New Roman" w:hAnsi="Times New Roman" w:eastAsia="仿宋_GB2312"/>
          <w:color w:val="auto"/>
          <w:sz w:val="32"/>
          <w:szCs w:val="32"/>
          <w:highlight w:val="none"/>
        </w:rPr>
        <w:t>年初预算为</w:t>
      </w:r>
      <w:r>
        <w:rPr>
          <w:rFonts w:hint="eastAsia" w:ascii="仿宋_GB2312" w:hAnsi="仿宋_GB2312" w:eastAsia="仿宋_GB2312" w:cs="仿宋_GB2312"/>
          <w:color w:val="auto"/>
          <w:sz w:val="32"/>
          <w:szCs w:val="32"/>
          <w:lang w:val="en-US" w:eastAsia="zh-CN"/>
        </w:rPr>
        <w:t>200</w:t>
      </w:r>
      <w:r>
        <w:rPr>
          <w:rFonts w:hint="eastAsia" w:ascii="Times New Roman" w:hAnsi="Times New Roman" w:eastAsia="仿宋_GB2312"/>
          <w:color w:val="auto"/>
          <w:sz w:val="32"/>
          <w:szCs w:val="32"/>
          <w:highlight w:val="none"/>
        </w:rPr>
        <w:t>万元，支出决算为</w:t>
      </w:r>
      <w:r>
        <w:rPr>
          <w:rFonts w:hint="eastAsia" w:ascii="Times New Roman" w:hAnsi="Times New Roman" w:eastAsia="仿宋_GB2312"/>
          <w:color w:val="auto"/>
          <w:sz w:val="32"/>
          <w:szCs w:val="32"/>
          <w:highlight w:val="none"/>
          <w:lang w:val="en-US" w:eastAsia="zh-CN"/>
        </w:rPr>
        <w:t>218.57</w:t>
      </w:r>
      <w:r>
        <w:rPr>
          <w:rFonts w:hint="eastAsia" w:ascii="Times New Roman" w:hAnsi="Times New Roman" w:eastAsia="仿宋_GB2312"/>
          <w:color w:val="auto"/>
          <w:sz w:val="32"/>
          <w:szCs w:val="32"/>
          <w:highlight w:val="none"/>
        </w:rPr>
        <w:t>万元，完成年初预算的</w:t>
      </w:r>
      <w:r>
        <w:rPr>
          <w:rFonts w:hint="eastAsia" w:ascii="仿宋_GB2312" w:hAnsi="仿宋_GB2312" w:eastAsia="仿宋_GB2312" w:cs="仿宋_GB2312"/>
          <w:color w:val="auto"/>
          <w:sz w:val="32"/>
          <w:szCs w:val="32"/>
          <w:lang w:val="en-US" w:eastAsia="zh-CN"/>
        </w:rPr>
        <w:t>109.29</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rPr>
        <w:t>决算数大于年初预算数的主要原因是:</w:t>
      </w:r>
      <w:r>
        <w:rPr>
          <w:rFonts w:hint="eastAsia" w:ascii="Times New Roman" w:hAnsi="Times New Roman" w:eastAsia="仿宋_GB2312"/>
          <w:color w:val="auto"/>
          <w:sz w:val="32"/>
          <w:szCs w:val="32"/>
          <w:highlight w:val="none"/>
        </w:rPr>
        <w:t>补</w:t>
      </w:r>
      <w:r>
        <w:rPr>
          <w:rFonts w:hint="eastAsia" w:ascii="Times New Roman" w:hAnsi="Times New Roman" w:eastAsia="仿宋_GB2312"/>
          <w:sz w:val="32"/>
          <w:szCs w:val="32"/>
          <w:highlight w:val="none"/>
        </w:rPr>
        <w:t>充完成上年未完进度</w:t>
      </w:r>
      <w:r>
        <w:rPr>
          <w:rFonts w:ascii="Times New Roman" w:hAnsi="Times New Roman" w:eastAsia="仿宋_GB2312"/>
          <w:sz w:val="32"/>
          <w:szCs w:val="32"/>
        </w:rPr>
        <w:t>。</w:t>
      </w:r>
    </w:p>
    <w:p w14:paraId="2A42A21F">
      <w:pPr>
        <w:pStyle w:val="12"/>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5、</w:t>
      </w:r>
      <w:r>
        <w:rPr>
          <w:rFonts w:hint="eastAsia" w:ascii="Times New Roman" w:hAnsi="Times New Roman" w:eastAsia="仿宋_GB2312"/>
          <w:sz w:val="32"/>
          <w:szCs w:val="32"/>
        </w:rPr>
        <w:t>卫生健康支出（类）公共卫生（款）重大公共卫生服务（项）。</w:t>
      </w:r>
      <w:r>
        <w:rPr>
          <w:rFonts w:hint="eastAsia" w:ascii="Times New Roman" w:hAnsi="Times New Roman" w:eastAsia="仿宋_GB2312"/>
          <w:sz w:val="32"/>
          <w:szCs w:val="32"/>
          <w:highlight w:val="none"/>
        </w:rPr>
        <w:t>年初预算为</w:t>
      </w:r>
      <w:r>
        <w:rPr>
          <w:rFonts w:hint="eastAsia" w:ascii="仿宋_GB2312" w:hAnsi="仿宋_GB2312" w:eastAsia="仿宋_GB2312" w:cs="仿宋_GB2312"/>
          <w:sz w:val="32"/>
          <w:szCs w:val="32"/>
          <w:lang w:val="en-US" w:eastAsia="zh-CN"/>
        </w:rPr>
        <w:t>130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377.27</w:t>
      </w:r>
      <w:r>
        <w:rPr>
          <w:rFonts w:hint="eastAsia" w:ascii="Times New Roman" w:hAnsi="Times New Roman" w:eastAsia="仿宋_GB2312"/>
          <w:sz w:val="32"/>
          <w:szCs w:val="32"/>
          <w:highlight w:val="none"/>
        </w:rPr>
        <w:t>万元，完成年初预算的</w:t>
      </w:r>
      <w:r>
        <w:rPr>
          <w:rFonts w:hint="eastAsia" w:ascii="仿宋_GB2312" w:hAnsi="仿宋_GB2312" w:eastAsia="仿宋_GB2312" w:cs="仿宋_GB2312"/>
          <w:sz w:val="32"/>
          <w:szCs w:val="32"/>
          <w:lang w:val="en-US" w:eastAsia="zh-CN"/>
        </w:rPr>
        <w:t>290.21</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highlight w:val="none"/>
        </w:rPr>
        <w:t>补充完成上年未完进度</w:t>
      </w:r>
      <w:r>
        <w:rPr>
          <w:rFonts w:ascii="Times New Roman" w:hAnsi="Times New Roman" w:eastAsia="仿宋_GB2312"/>
          <w:sz w:val="32"/>
          <w:szCs w:val="32"/>
        </w:rPr>
        <w:t>。</w:t>
      </w:r>
    </w:p>
    <w:p w14:paraId="52FF69F1">
      <w:pPr>
        <w:pStyle w:val="12"/>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、卫生健康支出（类）公共卫生（款）突发公共卫生事件应急</w:t>
      </w:r>
      <w:r>
        <w:rPr>
          <w:rFonts w:hint="eastAsia" w:ascii="Times New Roman" w:hAnsi="Times New Roman" w:eastAsia="仿宋_GB2312"/>
          <w:sz w:val="32"/>
          <w:szCs w:val="32"/>
          <w:highlight w:val="none"/>
        </w:rPr>
        <w:t>处理（项）。年初预算为</w:t>
      </w:r>
      <w:r>
        <w:rPr>
          <w:rFonts w:hint="eastAsia" w:ascii="仿宋_GB2312" w:hAnsi="仿宋_GB2312" w:eastAsia="仿宋_GB2312" w:cs="仿宋_GB2312"/>
          <w:sz w:val="32"/>
          <w:szCs w:val="32"/>
          <w:lang w:val="en-US" w:eastAsia="zh-CN"/>
        </w:rPr>
        <w:t>80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83.72</w:t>
      </w:r>
      <w:r>
        <w:rPr>
          <w:rFonts w:hint="eastAsia" w:ascii="Times New Roman" w:hAnsi="Times New Roman" w:eastAsia="仿宋_GB2312"/>
          <w:sz w:val="32"/>
          <w:szCs w:val="32"/>
          <w:highlight w:val="none"/>
        </w:rPr>
        <w:t>万元，完成年初预算的</w:t>
      </w:r>
      <w:r>
        <w:rPr>
          <w:rFonts w:hint="eastAsia" w:ascii="仿宋_GB2312" w:hAnsi="仿宋_GB2312" w:eastAsia="仿宋_GB2312" w:cs="仿宋_GB2312"/>
          <w:sz w:val="32"/>
          <w:szCs w:val="32"/>
          <w:lang w:val="en-US" w:eastAsia="zh-CN"/>
        </w:rPr>
        <w:t>104.65</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highlight w:val="none"/>
        </w:rPr>
        <w:t>补充完成上年未完进度</w:t>
      </w:r>
      <w:r>
        <w:rPr>
          <w:rFonts w:ascii="Times New Roman" w:hAnsi="Times New Roman" w:eastAsia="仿宋_GB2312"/>
          <w:sz w:val="32"/>
          <w:szCs w:val="32"/>
        </w:rPr>
        <w:t>。</w:t>
      </w:r>
    </w:p>
    <w:p w14:paraId="67ED7DF3">
      <w:pPr>
        <w:pStyle w:val="12"/>
        <w:numPr>
          <w:ilvl w:val="0"/>
          <w:numId w:val="0"/>
        </w:numPr>
        <w:spacing w:line="600" w:lineRule="exact"/>
        <w:ind w:leftChars="250"/>
        <w:rPr>
          <w:rFonts w:hint="eastAsia" w:ascii="Times New Roman" w:hAnsi="Times New Roman" w:eastAsia="仿宋_GB2312"/>
          <w:color w:val="0000FF"/>
          <w:sz w:val="32"/>
          <w:szCs w:val="32"/>
          <w:highlight w:val="none"/>
        </w:rPr>
      </w:pPr>
    </w:p>
    <w:p w14:paraId="450A9CAA">
      <w:pPr>
        <w:pStyle w:val="12"/>
        <w:keepNext w:val="0"/>
        <w:keepLines w:val="0"/>
        <w:pageBreakBefore w:val="0"/>
        <w:widowControl w:val="0"/>
        <w:numPr>
          <w:ilvl w:val="0"/>
          <w:numId w:val="0"/>
        </w:numPr>
        <w:kinsoku/>
        <w:wordWrap/>
        <w:overflowPunct/>
        <w:topLinePunct w:val="0"/>
        <w:bidi w:val="0"/>
        <w:snapToGrid/>
        <w:spacing w:line="600" w:lineRule="exact"/>
        <w:ind w:leftChars="250"/>
        <w:textAlignment w:val="auto"/>
        <w:rPr>
          <w:rFonts w:hint="eastAsia" w:ascii="Times New Roman" w:hAnsi="Times New Roman" w:eastAsia="仿宋_GB2312"/>
          <w:sz w:val="32"/>
          <w:szCs w:val="32"/>
          <w:highlight w:val="none"/>
        </w:rPr>
      </w:pPr>
    </w:p>
    <w:p w14:paraId="373E8BA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93AEB6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w:t>
      </w:r>
      <w:r>
        <w:rPr>
          <w:rFonts w:hint="eastAsia" w:ascii="仿宋_GB2312" w:hAnsi="仿宋_GB2312" w:eastAsia="仿宋_GB2312" w:cs="仿宋_GB2312"/>
          <w:sz w:val="32"/>
          <w:szCs w:val="32"/>
          <w:lang w:val="en-US" w:eastAsia="zh-CN"/>
        </w:rPr>
        <w:t>107</w:t>
      </w:r>
      <w:r>
        <w:rPr>
          <w:rFonts w:hint="eastAsia" w:ascii="仿宋_GB2312" w:hAnsi="仿宋_GB2312" w:eastAsia="仿宋_GB2312" w:cs="仿宋_GB2312"/>
          <w:sz w:val="32"/>
          <w:szCs w:val="32"/>
        </w:rPr>
        <w:t>万元，其中：</w:t>
      </w:r>
    </w:p>
    <w:p w14:paraId="1B6687B3">
      <w:pPr>
        <w:pStyle w:val="12"/>
        <w:spacing w:line="600" w:lineRule="exact"/>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人员经费</w:t>
      </w:r>
      <w:r>
        <w:rPr>
          <w:rFonts w:hint="eastAsia" w:ascii="Times New Roman" w:hAnsi="Times New Roman" w:eastAsia="仿宋_GB2312"/>
          <w:sz w:val="32"/>
          <w:szCs w:val="32"/>
          <w:lang w:val="en-US" w:eastAsia="zh-CN"/>
        </w:rPr>
        <w:t>107</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主要包括</w:t>
      </w:r>
      <w:r>
        <w:rPr>
          <w:rFonts w:hint="eastAsia" w:ascii="Times New Roman" w:hAnsi="Times New Roman" w:eastAsia="仿宋_GB2312"/>
          <w:sz w:val="32"/>
          <w:szCs w:val="32"/>
          <w:lang w:eastAsia="zh-CN"/>
        </w:rPr>
        <w:t>工资福利支出（类）</w:t>
      </w:r>
      <w:r>
        <w:rPr>
          <w:rFonts w:hint="eastAsia" w:ascii="Times New Roman" w:hAnsi="Times New Roman" w:eastAsia="仿宋_GB2312"/>
          <w:sz w:val="32"/>
          <w:szCs w:val="32"/>
        </w:rPr>
        <w:t>基本工资</w:t>
      </w:r>
      <w:r>
        <w:rPr>
          <w:rFonts w:hint="eastAsia" w:ascii="Times New Roman" w:hAnsi="Times New Roman" w:eastAsia="仿宋_GB2312"/>
          <w:sz w:val="32"/>
          <w:szCs w:val="32"/>
          <w:lang w:eastAsia="zh-CN"/>
        </w:rPr>
        <w:t>（项）</w:t>
      </w:r>
      <w:r>
        <w:rPr>
          <w:rFonts w:hint="eastAsia" w:ascii="Times New Roman" w:hAnsi="Times New Roman" w:eastAsia="仿宋_GB2312"/>
          <w:sz w:val="32"/>
          <w:szCs w:val="32"/>
          <w:lang w:val="en-US" w:eastAsia="zh-CN"/>
        </w:rPr>
        <w:t>107.00</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w:t>
      </w:r>
    </w:p>
    <w:p w14:paraId="238B276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12592558">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9793</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2406.89</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2406.89</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7386.11</w:t>
      </w:r>
      <w:r>
        <w:rPr>
          <w:rFonts w:hint="eastAsia" w:ascii="仿宋_GB2312" w:hAnsi="仿宋_GB2312" w:eastAsia="仿宋_GB2312" w:cs="仿宋_GB2312"/>
          <w:sz w:val="32"/>
          <w:szCs w:val="32"/>
        </w:rPr>
        <w:t>万元。具体情况如下：</w:t>
      </w:r>
    </w:p>
    <w:p w14:paraId="5325FC7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Times New Roman" w:hAnsi="Times New Roman" w:eastAsia="仿宋_GB2312"/>
          <w:sz w:val="32"/>
          <w:szCs w:val="32"/>
        </w:rPr>
        <w:t>其他支出（类）其他政府性基金及对应专项债务收入安排的支出（款）其他地方自行试点项目收益专项债券收入安排的支出（项）</w:t>
      </w:r>
      <w:r>
        <w:rPr>
          <w:rFonts w:hint="eastAsia" w:ascii="仿宋_GB2312" w:hAnsi="仿宋_GB2312" w:eastAsia="仿宋_GB2312" w:cs="仿宋_GB2312"/>
          <w:sz w:val="32"/>
          <w:szCs w:val="32"/>
        </w:rPr>
        <w:t>。</w:t>
      </w:r>
    </w:p>
    <w:p w14:paraId="1BAE16F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9793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2406.89</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24.58</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决算数</w:t>
      </w:r>
      <w:r>
        <w:rPr>
          <w:rFonts w:hint="eastAsia" w:ascii="Times New Roman" w:hAnsi="Times New Roman" w:eastAsia="仿宋_GB2312"/>
          <w:sz w:val="32"/>
          <w:szCs w:val="32"/>
          <w:lang w:eastAsia="zh-CN"/>
        </w:rPr>
        <w:t>小于</w:t>
      </w:r>
      <w:r>
        <w:rPr>
          <w:rFonts w:hint="eastAsia" w:ascii="Times New Roman" w:hAnsi="Times New Roman" w:eastAsia="仿宋_GB2312"/>
          <w:sz w:val="32"/>
          <w:szCs w:val="32"/>
        </w:rPr>
        <w:t>年初预算数的主要原因是：</w:t>
      </w:r>
      <w:r>
        <w:rPr>
          <w:rFonts w:hint="eastAsia" w:ascii="Times New Roman" w:hAnsi="Times New Roman" w:eastAsia="仿宋_GB2312"/>
          <w:sz w:val="32"/>
          <w:szCs w:val="32"/>
          <w:highlight w:val="none"/>
        </w:rPr>
        <w:t>项目付款</w:t>
      </w:r>
      <w:r>
        <w:rPr>
          <w:rFonts w:ascii="Times New Roman" w:hAnsi="Times New Roman" w:eastAsia="仿宋_GB2312"/>
          <w:sz w:val="32"/>
          <w:szCs w:val="32"/>
          <w:highlight w:val="none"/>
        </w:rPr>
        <w:t>落后于</w:t>
      </w:r>
      <w:r>
        <w:rPr>
          <w:rFonts w:hint="eastAsia" w:ascii="Times New Roman" w:hAnsi="Times New Roman" w:eastAsia="仿宋_GB2312"/>
          <w:sz w:val="32"/>
          <w:szCs w:val="32"/>
          <w:highlight w:val="none"/>
        </w:rPr>
        <w:t>进度</w:t>
      </w:r>
      <w:r>
        <w:rPr>
          <w:rFonts w:hint="eastAsia" w:ascii="Times New Roman" w:hAnsi="Times New Roman" w:eastAsia="仿宋_GB2312"/>
          <w:sz w:val="32"/>
          <w:szCs w:val="32"/>
        </w:rPr>
        <w:t>。</w:t>
      </w:r>
    </w:p>
    <w:p w14:paraId="28BDC7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24CC7F4F">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bidi="ar-SA"/>
        </w:rPr>
        <w:t>2024年度国有资本经营预算财政拨款收入0万元；年初结转和结余0万；支出0万元，</w:t>
      </w:r>
      <w:r>
        <w:rPr>
          <w:rFonts w:hint="eastAsia" w:ascii="仿宋_GB2312" w:hAnsi="仿宋_GB2312" w:eastAsia="仿宋_GB2312" w:cs="仿宋_GB2312"/>
          <w:i w:val="0"/>
          <w:iCs/>
          <w:color w:val="000000" w:themeColor="text1"/>
          <w:kern w:val="0"/>
          <w:sz w:val="32"/>
          <w:szCs w:val="32"/>
          <w:highlight w:val="none"/>
          <w:lang w:val="en-US" w:eastAsia="zh-CN" w:bidi="ar-SA"/>
          <w14:textFill>
            <w14:solidFill>
              <w14:schemeClr w14:val="tx1"/>
            </w14:solidFill>
          </w14:textFill>
        </w:rPr>
        <w:t>其中：基本支出0万元，项目支出0万元</w:t>
      </w:r>
      <w:r>
        <w:rPr>
          <w:rFonts w:hint="eastAsia" w:ascii="仿宋_GB2312" w:hAnsi="仿宋_GB2312" w:eastAsia="仿宋_GB2312" w:cs="仿宋_GB2312"/>
          <w:color w:val="000000"/>
          <w:kern w:val="0"/>
          <w:sz w:val="32"/>
          <w:szCs w:val="32"/>
          <w:highlight w:val="none"/>
          <w:lang w:val="en-US" w:eastAsia="zh-CN" w:bidi="ar-SA"/>
        </w:rPr>
        <w:t>；年末结转和结余0万元。</w:t>
      </w:r>
    </w:p>
    <w:p w14:paraId="5876C25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6298EF1D">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14:paraId="6D0DE2E5">
      <w:pPr>
        <w:pStyle w:val="12"/>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highlight w:val="yellow"/>
          <w:lang w:eastAsia="zh-CN"/>
        </w:rPr>
      </w:pPr>
      <w:r>
        <w:rPr>
          <w:rFonts w:ascii="Times New Roman" w:hAnsi="Times New Roman" w:eastAsia="仿宋_GB2312" w:cs="Times New Roman"/>
          <w:color w:val="auto"/>
          <w:sz w:val="32"/>
          <w:szCs w:val="32"/>
        </w:rPr>
        <w:t>2024年度“三公”经费财政拨款支出预算为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w:t>
      </w:r>
      <w:r>
        <w:rPr>
          <w:rFonts w:hint="eastAsia" w:ascii="Times New Roman" w:hAnsi="Times New Roman" w:eastAsia="仿宋_GB2312" w:cs="Times New Roman"/>
          <w:color w:val="auto"/>
          <w:sz w:val="32"/>
          <w:szCs w:val="32"/>
          <w:lang w:eastAsia="zh-CN"/>
        </w:rPr>
        <w:t>决算数等于预算数</w:t>
      </w:r>
      <w:r>
        <w:rPr>
          <w:rFonts w:hint="eastAsia" w:ascii="Times New Roman" w:hAnsi="Times New Roman" w:eastAsia="仿宋_GB2312" w:cs="Times New Roman"/>
          <w:color w:val="auto"/>
          <w:sz w:val="32"/>
          <w:szCs w:val="32"/>
          <w:lang w:val="en-US" w:eastAsia="zh-CN"/>
        </w:rPr>
        <w:t>，主要原因是我单位严格按预算执行决算；与上年一致，无增减变动，主要原因是按有关政策厉行节约，严控“三公经费”支出。</w:t>
      </w:r>
    </w:p>
    <w:p w14:paraId="352D03A7">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14:paraId="3B456EA0">
      <w:pPr>
        <w:pStyle w:val="12"/>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lang w:val="en-US" w:eastAsia="zh-CN"/>
        </w:rPr>
      </w:pPr>
      <w:r>
        <w:rPr>
          <w:rFonts w:ascii="Times New Roman" w:hAnsi="Times New Roman" w:eastAsia="仿宋_GB2312" w:cs="Times New Roman"/>
          <w:color w:val="auto"/>
          <w:sz w:val="32"/>
          <w:szCs w:val="32"/>
        </w:rPr>
        <w:t>1.因公出国（境）费支出预算为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w:t>
      </w:r>
      <w:r>
        <w:rPr>
          <w:rFonts w:hint="eastAsia" w:ascii="Times New Roman" w:hAnsi="Times New Roman" w:eastAsia="仿宋_GB2312" w:cs="Times New Roman"/>
          <w:color w:val="auto"/>
          <w:sz w:val="32"/>
          <w:szCs w:val="32"/>
          <w:lang w:eastAsia="zh-CN"/>
        </w:rPr>
        <w:t>决算数等于预算数</w:t>
      </w:r>
      <w:r>
        <w:rPr>
          <w:rFonts w:hint="eastAsia" w:ascii="Times New Roman" w:hAnsi="Times New Roman" w:eastAsia="仿宋_GB2312" w:cs="Times New Roman"/>
          <w:color w:val="auto"/>
          <w:sz w:val="32"/>
          <w:szCs w:val="32"/>
          <w:lang w:val="en-US" w:eastAsia="zh-CN"/>
        </w:rPr>
        <w:t>，主要原因是我单位严格按预算执行决算</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与上年一致，无增减变动，主要原因是未安排因公出国（境）活动。</w:t>
      </w:r>
      <w:r>
        <w:rPr>
          <w:rFonts w:ascii="Times New Roman" w:hAnsi="Times New Roman" w:eastAsia="仿宋_GB2312" w:cs="Times New Roman"/>
          <w:color w:val="auto"/>
          <w:sz w:val="32"/>
          <w:szCs w:val="32"/>
        </w:rPr>
        <w:t>2024年度安排因公出国（境）团组</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个，累计</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人次</w:t>
      </w:r>
      <w:r>
        <w:rPr>
          <w:rFonts w:hint="eastAsia" w:ascii="Times New Roman" w:hAnsi="Times New Roman" w:eastAsia="仿宋_GB2312" w:cs="Times New Roman"/>
          <w:color w:val="auto"/>
          <w:sz w:val="32"/>
          <w:szCs w:val="32"/>
          <w:lang w:eastAsia="zh-CN"/>
        </w:rPr>
        <w:t>。</w:t>
      </w:r>
    </w:p>
    <w:p w14:paraId="0DAD15B5">
      <w:pPr>
        <w:pStyle w:val="12"/>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2.公务用车购置费及运行维护费支出预算为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w:t>
      </w:r>
      <w:r>
        <w:rPr>
          <w:rFonts w:hint="eastAsia" w:ascii="Times New Roman" w:hAnsi="Times New Roman" w:eastAsia="仿宋_GB2312" w:cs="Times New Roman"/>
          <w:color w:val="auto"/>
          <w:sz w:val="32"/>
          <w:szCs w:val="32"/>
          <w:lang w:eastAsia="zh-CN"/>
        </w:rPr>
        <w:t>决算数等于预算数</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与上年一致，无增减变动</w:t>
      </w:r>
      <w:r>
        <w:rPr>
          <w:rFonts w:ascii="Times New Roman" w:hAnsi="Times New Roman" w:eastAsia="仿宋_GB2312" w:cs="Times New Roman"/>
          <w:color w:val="auto"/>
          <w:sz w:val="32"/>
          <w:szCs w:val="32"/>
        </w:rPr>
        <w:t>。其中：</w:t>
      </w:r>
    </w:p>
    <w:p w14:paraId="6221617B">
      <w:pPr>
        <w:pStyle w:val="12"/>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lang w:val="en-US" w:eastAsia="zh-CN"/>
        </w:rPr>
      </w:pPr>
      <w:r>
        <w:rPr>
          <w:rFonts w:ascii="Times New Roman" w:hAnsi="Times New Roman" w:eastAsia="仿宋_GB2312" w:cs="Times New Roman"/>
          <w:color w:val="auto"/>
          <w:sz w:val="32"/>
          <w:szCs w:val="32"/>
        </w:rPr>
        <w:t>公务用车购置费支出预算为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w:t>
      </w:r>
      <w:r>
        <w:rPr>
          <w:rFonts w:hint="eastAsia" w:ascii="Times New Roman" w:hAnsi="Times New Roman" w:eastAsia="仿宋_GB2312" w:cs="Times New Roman"/>
          <w:color w:val="auto"/>
          <w:sz w:val="32"/>
          <w:szCs w:val="32"/>
          <w:lang w:val="en-US" w:eastAsia="zh-CN"/>
        </w:rPr>
        <w:t>决算数等于预算数，主要原因是我单位严格按预算执行决算</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与上年一致，无增减变动，主要原因是两年均未购置公务用车。本单位</w:t>
      </w:r>
      <w:r>
        <w:rPr>
          <w:rFonts w:ascii="Times New Roman" w:hAnsi="Times New Roman" w:eastAsia="仿宋_GB2312" w:cs="Times New Roman"/>
          <w:color w:val="auto"/>
          <w:sz w:val="32"/>
          <w:szCs w:val="32"/>
        </w:rPr>
        <w:t>更新公务用车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w:t>
      </w:r>
      <w:r>
        <w:rPr>
          <w:rFonts w:hint="eastAsia" w:ascii="Times New Roman" w:hAnsi="Times New Roman" w:eastAsia="仿宋_GB2312" w:cs="Times New Roman"/>
          <w:color w:val="auto"/>
          <w:sz w:val="32"/>
          <w:szCs w:val="32"/>
          <w:lang w:eastAsia="zh-CN"/>
        </w:rPr>
        <w:t>。</w:t>
      </w:r>
    </w:p>
    <w:p w14:paraId="327A05CE">
      <w:pPr>
        <w:pStyle w:val="12"/>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公</w:t>
      </w:r>
      <w:r>
        <w:rPr>
          <w:rFonts w:ascii="Times New Roman" w:hAnsi="Times New Roman" w:eastAsia="仿宋_GB2312" w:cs="Times New Roman"/>
          <w:color w:val="auto"/>
          <w:sz w:val="32"/>
          <w:szCs w:val="32"/>
        </w:rPr>
        <w:t>务用车运行维护费支出预算为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w:t>
      </w:r>
      <w:r>
        <w:rPr>
          <w:rFonts w:hint="eastAsia" w:ascii="Times New Roman" w:hAnsi="Times New Roman" w:eastAsia="仿宋_GB2312" w:cs="Times New Roman"/>
          <w:color w:val="auto"/>
          <w:sz w:val="32"/>
          <w:szCs w:val="32"/>
          <w:lang w:val="en-US" w:eastAsia="zh-CN"/>
        </w:rPr>
        <w:t xml:space="preserve">决算数等于预算数，主要原因是我单位严格按预算执行决算；与上年一致，无增减变动，主要原因是两年均无公务用车需要运行维护。 </w:t>
      </w:r>
      <w:r>
        <w:rPr>
          <w:rFonts w:ascii="Times New Roman" w:hAnsi="Times New Roman" w:eastAsia="仿宋_GB2312" w:cs="Times New Roman"/>
          <w:color w:val="auto"/>
          <w:sz w:val="32"/>
          <w:szCs w:val="32"/>
        </w:rPr>
        <w:t>截止</w:t>
      </w:r>
      <w:r>
        <w:rPr>
          <w:rFonts w:hint="eastAsia" w:ascii="Times New Roman" w:hAnsi="Times New Roman" w:eastAsia="仿宋_GB2312" w:cs="Times New Roman"/>
          <w:color w:val="auto"/>
          <w:sz w:val="32"/>
          <w:szCs w:val="32"/>
          <w:lang w:eastAsia="zh-CN"/>
        </w:rPr>
        <w:t>到</w:t>
      </w:r>
      <w:r>
        <w:rPr>
          <w:rFonts w:ascii="Times New Roman" w:hAnsi="Times New Roman" w:eastAsia="仿宋_GB2312" w:cs="Times New Roman"/>
          <w:color w:val="auto"/>
          <w:sz w:val="32"/>
          <w:szCs w:val="32"/>
        </w:rPr>
        <w:t>2024年12月31日，我单位开支财政拨款的公务用车保有量为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w:t>
      </w:r>
    </w:p>
    <w:p w14:paraId="56A0F8FC">
      <w:pPr>
        <w:pStyle w:val="12"/>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3.</w:t>
      </w:r>
      <w:r>
        <w:rPr>
          <w:rFonts w:ascii="Times New Roman" w:hAnsi="Times New Roman" w:eastAsia="仿宋_GB2312" w:cs="Times New Roman"/>
          <w:color w:val="auto"/>
          <w:sz w:val="32"/>
          <w:szCs w:val="32"/>
        </w:rPr>
        <w:t>公务接待费支出预算为</w:t>
      </w:r>
      <w:r>
        <w:rPr>
          <w:rFonts w:hint="eastAsia" w:ascii="Times New Roman" w:hAnsi="Times New Roman" w:eastAsia="仿宋_GB2312" w:cs="Times New Roman"/>
          <w:color w:val="auto"/>
          <w:sz w:val="32"/>
          <w:szCs w:val="32"/>
          <w:lang w:val="en-US" w:eastAsia="zh-CN"/>
        </w:rPr>
        <w:t xml:space="preserve"> 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w:t>
      </w:r>
      <w:r>
        <w:rPr>
          <w:rFonts w:hint="eastAsia" w:ascii="Times New Roman" w:hAnsi="Times New Roman" w:eastAsia="仿宋_GB2312" w:cs="Times New Roman"/>
          <w:color w:val="auto"/>
          <w:sz w:val="32"/>
          <w:szCs w:val="32"/>
          <w:lang w:val="en-US" w:eastAsia="zh-CN"/>
        </w:rPr>
        <w:t>决算数等于预算数，主要原因是严格执行中央八项规定；与上年一致，无增减变动，主要原因是按有关政策厉行节约，严控公务接待支出。</w:t>
      </w:r>
      <w:r>
        <w:rPr>
          <w:rFonts w:ascii="Times New Roman" w:hAnsi="Times New Roman" w:eastAsia="仿宋_GB2312" w:cs="Times New Roman"/>
          <w:color w:val="auto"/>
          <w:sz w:val="32"/>
          <w:szCs w:val="32"/>
        </w:rPr>
        <w:t>2024年度共接待来访团组</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个、来宾</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人次</w:t>
      </w:r>
      <w:r>
        <w:rPr>
          <w:rFonts w:hint="eastAsia" w:ascii="Times New Roman" w:hAnsi="Times New Roman" w:eastAsia="仿宋_GB2312" w:cs="Times New Roman"/>
          <w:color w:val="auto"/>
          <w:sz w:val="32"/>
          <w:szCs w:val="32"/>
          <w:lang w:eastAsia="zh-CN"/>
        </w:rPr>
        <w:t>。</w:t>
      </w:r>
    </w:p>
    <w:p w14:paraId="3D06ACE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2211DC7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本级单位为事业单位，按照机关运行经费的口径，本年度机关运行经费为0。</w:t>
      </w:r>
    </w:p>
    <w:p w14:paraId="39684EF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68E8B9E1">
      <w:pPr>
        <w:pStyle w:val="12"/>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本单位无会议费的预算和支出决算数；</w:t>
      </w:r>
    </w:p>
    <w:p w14:paraId="60D5DB4B">
      <w:pPr>
        <w:pStyle w:val="12"/>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本单位无培训费的预算和支出决算数；</w:t>
      </w:r>
    </w:p>
    <w:p w14:paraId="56E4112D">
      <w:pPr>
        <w:pStyle w:val="12"/>
        <w:ind w:firstLine="640" w:firstLineChars="200"/>
        <w:rPr>
          <w:rFonts w:hint="eastAsia" w:ascii="楷体" w:hAnsi="楷体" w:eastAsia="楷体" w:cs="楷体"/>
          <w:b/>
          <w:bCs/>
          <w:i w:val="0"/>
          <w:iCs w:val="0"/>
          <w:color w:val="FF0000"/>
          <w:kern w:val="0"/>
          <w:sz w:val="40"/>
          <w:szCs w:val="40"/>
          <w:lang w:val="en-US" w:eastAsia="zh-CN" w:bidi="ar-SA"/>
        </w:rPr>
      </w:pPr>
      <w:r>
        <w:rPr>
          <w:rFonts w:hint="eastAsia" w:ascii="Times New Roman" w:hAnsi="Times New Roman" w:eastAsia="仿宋_GB2312"/>
          <w:sz w:val="32"/>
          <w:szCs w:val="32"/>
        </w:rPr>
        <w:t>本单位无举办节庆、晚会、论坛、赛事等活动的预算和支出决算数。</w:t>
      </w:r>
    </w:p>
    <w:p w14:paraId="252D0BE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087F52B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i/>
          <w:color w:val="FF0000"/>
          <w:sz w:val="32"/>
          <w:szCs w:val="32"/>
          <w:lang w:val="en-US" w:eastAsia="zh-CN"/>
        </w:rPr>
      </w:pPr>
      <w:r>
        <w:rPr>
          <w:rFonts w:hint="eastAsia" w:ascii="仿宋_GB2312" w:hAnsi="仿宋_GB2312" w:eastAsia="仿宋_GB2312" w:cs="仿宋_GB2312"/>
          <w:sz w:val="32"/>
          <w:szCs w:val="32"/>
        </w:rPr>
        <w:t>本部门2024年度政府采购支出总额7701.02万元，其中：政府采购货物支出3209.68万元、政府采购工程支出2520.77万元、政府采购服务支出1970.58万元。授予中小企业合同金额7626.12万元，占政府采购支出总额的99.03%，其中：授予小微企业合同金额7177.53万元，占授予中小企业合同金额的94.12%。货物采购授予中小企业合同金额占货物支出金额的100%，工程采购授予中小企业合同金额占工程支出金额的100%，服务采购授予中小企业合同金额占服务支出金额的96.2%。</w:t>
      </w:r>
    </w:p>
    <w:p w14:paraId="246A0DF6">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37C9D953">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val="en-US" w:eastAsia="zh-CN"/>
        </w:rPr>
        <w:t>本</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辆，其他用车主要是</w:t>
      </w:r>
      <w:r>
        <w:rPr>
          <w:rFonts w:hint="eastAsia" w:ascii="Times New Roman" w:hAnsi="Times New Roman" w:eastAsia="仿宋_GB2312"/>
          <w:sz w:val="32"/>
          <w:szCs w:val="32"/>
        </w:rPr>
        <w:t>救护车</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49</w:t>
      </w:r>
      <w:r>
        <w:rPr>
          <w:rFonts w:hint="eastAsia" w:ascii="仿宋_GB2312" w:hAnsi="仿宋_GB2312" w:eastAsia="仿宋_GB2312" w:cs="仿宋_GB2312"/>
          <w:color w:val="auto"/>
          <w:sz w:val="32"/>
          <w:szCs w:val="32"/>
        </w:rPr>
        <w:t>台（套）。</w:t>
      </w:r>
    </w:p>
    <w:p w14:paraId="0A8224AC">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14:paraId="0EB60D67">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004D01B3">
      <w:pPr>
        <w:overflowPunct w:val="0"/>
        <w:spacing w:line="600" w:lineRule="exact"/>
        <w:ind w:firstLine="640" w:firstLineChars="200"/>
        <w:rPr>
          <w:rFonts w:ascii="Times New Roman" w:hAnsi="Times New Roman" w:eastAsia="楷体" w:cs="Times New Roman"/>
          <w:b/>
          <w:bCs/>
          <w:sz w:val="32"/>
          <w:szCs w:val="32"/>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ascii="Times New Roman" w:hAnsi="Times New Roman" w:eastAsia="仿宋_GB2312" w:cs="Times New Roman"/>
          <w:kern w:val="0"/>
          <w:sz w:val="32"/>
          <w:szCs w:val="32"/>
        </w:rPr>
        <w:t>组织对2024年度本部门（单位）整体支出开展绩效自评，涉及项目</w:t>
      </w:r>
      <w:r>
        <w:rPr>
          <w:rFonts w:hint="eastAsia" w:ascii="Times New Roman" w:hAnsi="Times New Roman" w:eastAsia="仿宋_GB2312" w:cs="Times New Roman"/>
          <w:kern w:val="0"/>
          <w:sz w:val="32"/>
          <w:szCs w:val="32"/>
          <w:lang w:val="en-US" w:eastAsia="zh-CN"/>
        </w:rPr>
        <w:t>12</w:t>
      </w:r>
      <w:r>
        <w:rPr>
          <w:rFonts w:ascii="Times New Roman" w:hAnsi="Times New Roman" w:eastAsia="仿宋_GB2312" w:cs="Times New Roman"/>
          <w:kern w:val="0"/>
          <w:sz w:val="32"/>
          <w:szCs w:val="32"/>
        </w:rPr>
        <w:t xml:space="preserve"> 个，共涉及资金</w:t>
      </w:r>
      <w:r>
        <w:rPr>
          <w:rFonts w:hint="eastAsia" w:ascii="Times New Roman" w:hAnsi="Times New Roman" w:eastAsia="仿宋_GB2312" w:cs="Times New Roman"/>
          <w:kern w:val="0"/>
          <w:sz w:val="32"/>
          <w:szCs w:val="32"/>
          <w:lang w:val="en-US" w:eastAsia="zh-CN"/>
        </w:rPr>
        <w:t>719.26</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12</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719.216</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100</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万元，占政府性基金预算支出总额的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万元，占国有资本经营预算支出总额的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万元，占社会保险基金预算支出总额的</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w:t>
      </w:r>
    </w:p>
    <w:p w14:paraId="6FC8205B">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14:paraId="480E9D4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w:t>
      </w:r>
      <w:r>
        <w:rPr>
          <w:rFonts w:hint="eastAsia" w:ascii="Times New Roman" w:hAnsi="Times New Roman" w:eastAsia="仿宋_GB2312" w:cs="Times New Roman"/>
          <w:kern w:val="0"/>
          <w:sz w:val="32"/>
          <w:szCs w:val="32"/>
          <w:lang w:val="en-US" w:eastAsia="zh-CN"/>
        </w:rPr>
        <w:t>算数1286.9万元，执行数1286.9万元</w:t>
      </w:r>
      <w:r>
        <w:rPr>
          <w:rFonts w:ascii="Times New Roman" w:hAnsi="Times New Roman" w:eastAsia="仿宋_GB2312" w:cs="Times New Roman"/>
          <w:sz w:val="32"/>
          <w:szCs w:val="32"/>
        </w:rPr>
        <w:t>，完成预算的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”。绩效目标完成情况：</w:t>
      </w:r>
      <w:r>
        <w:rPr>
          <w:rFonts w:hint="eastAsia" w:ascii="仿宋_GB2312" w:hAnsi="仿宋_GB2312" w:eastAsia="仿宋_GB2312" w:cs="仿宋_GB2312"/>
          <w:sz w:val="32"/>
          <w:szCs w:val="32"/>
        </w:rPr>
        <w:t>一是医疗收入预算</w:t>
      </w:r>
      <w:r>
        <w:rPr>
          <w:rFonts w:hint="eastAsia" w:ascii="仿宋_GB2312" w:hAnsi="仿宋_GB2312" w:eastAsia="仿宋_GB2312" w:cs="仿宋_GB2312"/>
          <w:sz w:val="32"/>
          <w:szCs w:val="32"/>
          <w:lang w:val="en-US" w:eastAsia="zh-CN"/>
        </w:rPr>
        <w:t>60000</w:t>
      </w:r>
      <w:r>
        <w:rPr>
          <w:rFonts w:hint="eastAsia" w:ascii="仿宋_GB2312" w:hAnsi="仿宋_GB2312" w:eastAsia="仿宋_GB2312" w:cs="仿宋_GB2312"/>
          <w:sz w:val="32"/>
          <w:szCs w:val="32"/>
        </w:rPr>
        <w:t>万元，实际完成</w:t>
      </w:r>
      <w:r>
        <w:rPr>
          <w:rFonts w:hint="eastAsia" w:ascii="仿宋_GB2312" w:hAnsi="仿宋_GB2312" w:eastAsia="仿宋_GB2312" w:cs="仿宋_GB2312"/>
          <w:sz w:val="32"/>
          <w:szCs w:val="32"/>
          <w:lang w:val="en-US" w:eastAsia="zh-CN"/>
        </w:rPr>
        <w:t>60724</w:t>
      </w:r>
      <w:r>
        <w:rPr>
          <w:rFonts w:hint="eastAsia" w:ascii="仿宋_GB2312" w:hAnsi="仿宋_GB2312" w:eastAsia="仿宋_GB2312" w:cs="仿宋_GB2312"/>
          <w:sz w:val="32"/>
          <w:szCs w:val="32"/>
        </w:rPr>
        <w:t>万元；二</w:t>
      </w:r>
      <w:r>
        <w:rPr>
          <w:rFonts w:hint="eastAsia" w:ascii="仿宋_GB2312" w:hAnsi="仿宋_GB2312" w:eastAsia="仿宋_GB2312" w:cs="仿宋_GB2312"/>
          <w:sz w:val="32"/>
          <w:szCs w:val="32"/>
          <w:highlight w:val="none"/>
        </w:rPr>
        <w:t>是门诊量预算</w:t>
      </w:r>
      <w:r>
        <w:rPr>
          <w:rFonts w:hint="eastAsia" w:ascii="仿宋_GB2312" w:hAnsi="仿宋_GB2312" w:eastAsia="仿宋_GB2312" w:cs="仿宋_GB2312"/>
          <w:sz w:val="32"/>
          <w:szCs w:val="32"/>
          <w:highlight w:val="none"/>
          <w:lang w:val="en-US" w:eastAsia="zh-CN"/>
        </w:rPr>
        <w:t>40.00</w:t>
      </w:r>
      <w:r>
        <w:rPr>
          <w:rFonts w:hint="eastAsia" w:ascii="仿宋_GB2312" w:hAnsi="仿宋_GB2312" w:eastAsia="仿宋_GB2312" w:cs="仿宋_GB2312"/>
          <w:sz w:val="32"/>
          <w:szCs w:val="32"/>
          <w:highlight w:val="none"/>
        </w:rPr>
        <w:t>万人次，实际完成</w:t>
      </w:r>
      <w:r>
        <w:rPr>
          <w:rFonts w:hint="eastAsia" w:ascii="仿宋_GB2312" w:hAnsi="仿宋_GB2312" w:eastAsia="仿宋_GB2312" w:cs="仿宋_GB2312"/>
          <w:sz w:val="32"/>
          <w:szCs w:val="32"/>
          <w:highlight w:val="none"/>
          <w:lang w:val="en-US" w:eastAsia="zh-CN"/>
        </w:rPr>
        <w:t>41</w:t>
      </w:r>
      <w:r>
        <w:rPr>
          <w:rFonts w:hint="eastAsia" w:ascii="仿宋_GB2312" w:hAnsi="仿宋_GB2312" w:eastAsia="仿宋_GB2312" w:cs="仿宋_GB2312"/>
          <w:sz w:val="32"/>
          <w:szCs w:val="32"/>
          <w:highlight w:val="none"/>
        </w:rPr>
        <w:t>万人次；</w:t>
      </w:r>
      <w:r>
        <w:rPr>
          <w:rFonts w:ascii="仿宋_GB2312" w:hAnsi="仿宋_GB2312" w:eastAsia="仿宋_GB2312" w:cs="仿宋_GB2312"/>
          <w:sz w:val="32"/>
          <w:szCs w:val="32"/>
          <w:highlight w:val="none"/>
        </w:rPr>
        <w:t>三是</w:t>
      </w:r>
      <w:r>
        <w:rPr>
          <w:rFonts w:hint="eastAsia" w:ascii="仿宋_GB2312" w:hAnsi="仿宋_GB2312" w:eastAsia="仿宋_GB2312" w:cs="仿宋_GB2312"/>
          <w:sz w:val="32"/>
          <w:szCs w:val="32"/>
          <w:highlight w:val="none"/>
        </w:rPr>
        <w:t>出院人次达到</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rPr>
        <w:t>万人次，实际完成</w:t>
      </w:r>
      <w:r>
        <w:rPr>
          <w:rFonts w:hint="eastAsia" w:ascii="仿宋_GB2312" w:hAnsi="仿宋_GB2312" w:eastAsia="仿宋_GB2312" w:cs="仿宋_GB2312"/>
          <w:sz w:val="32"/>
          <w:szCs w:val="32"/>
          <w:lang w:val="en-US" w:eastAsia="zh-CN"/>
        </w:rPr>
        <w:t>4.5</w:t>
      </w:r>
      <w:r>
        <w:rPr>
          <w:rFonts w:hint="eastAsia" w:ascii="仿宋_GB2312" w:hAnsi="仿宋_GB2312" w:eastAsia="仿宋_GB2312" w:cs="仿宋_GB2312"/>
          <w:sz w:val="32"/>
          <w:szCs w:val="32"/>
        </w:rPr>
        <w:t>万人次。发现的主要问题及原因：</w:t>
      </w:r>
      <w:r>
        <w:rPr>
          <w:rFonts w:hint="eastAsia" w:ascii="仿宋_GB2312" w:hAnsi="仿宋_GB2312" w:eastAsia="仿宋_GB2312" w:cs="仿宋_GB2312"/>
          <w:sz w:val="32"/>
          <w:szCs w:val="32"/>
          <w:lang w:eastAsia="zh-CN"/>
        </w:rPr>
        <w:t>一是</w:t>
      </w:r>
      <w:r>
        <w:rPr>
          <w:rFonts w:hint="eastAsia" w:ascii="仿宋_GB2312" w:hAnsi="仿宋_GB2312" w:eastAsia="仿宋_GB2312" w:cs="仿宋_GB2312"/>
          <w:sz w:val="32"/>
          <w:szCs w:val="32"/>
          <w:lang w:val="en-US" w:eastAsia="zh-CN"/>
        </w:rPr>
        <w:t>学科发展还不平衡，医院内部各学科发展还有差距。二是门诊人次与医院规模还不匹配、中医特色优势发挥还不充分</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rPr>
        <w:t>下一步改进措施：一是</w:t>
      </w:r>
      <w:r>
        <w:rPr>
          <w:rFonts w:hint="eastAsia" w:ascii="仿宋_GB2312" w:hAnsi="仿宋_GB2312" w:eastAsia="仿宋_GB2312" w:cs="仿宋_GB2312"/>
          <w:sz w:val="32"/>
          <w:szCs w:val="32"/>
          <w:lang w:val="en-US" w:eastAsia="zh-CN"/>
        </w:rPr>
        <w:t>要更加坚定信心，鼓足干劲，</w:t>
      </w:r>
      <w:r>
        <w:rPr>
          <w:rFonts w:hint="eastAsia" w:ascii="仿宋_GB2312" w:hAnsi="仿宋_GB2312" w:eastAsia="仿宋_GB2312" w:cs="仿宋_GB2312"/>
          <w:sz w:val="32"/>
          <w:szCs w:val="32"/>
          <w:highlight w:val="none"/>
          <w:lang w:val="en-US" w:eastAsia="zh-CN"/>
        </w:rPr>
        <w:t>要以解放思想为抓手凝聚干事创业的强大动能</w:t>
      </w:r>
      <w:r>
        <w:rPr>
          <w:rFonts w:hint="eastAsia" w:ascii="仿宋_GB2312" w:hAnsi="仿宋_GB2312" w:eastAsia="仿宋_GB2312" w:cs="仿宋_GB2312"/>
          <w:sz w:val="32"/>
          <w:szCs w:val="32"/>
          <w:highlight w:val="none"/>
        </w:rPr>
        <w:t>；二是</w:t>
      </w:r>
      <w:r>
        <w:rPr>
          <w:rFonts w:hint="eastAsia" w:ascii="仿宋_GB2312" w:hAnsi="仿宋_GB2312" w:eastAsia="仿宋_GB2312" w:cs="仿宋_GB2312"/>
          <w:sz w:val="32"/>
          <w:szCs w:val="32"/>
          <w:highlight w:val="none"/>
          <w:lang w:val="en-US" w:eastAsia="zh-CN"/>
        </w:rPr>
        <w:t>要狠抓落实推动医院高质量发展再上新台阶</w:t>
      </w:r>
      <w:r>
        <w:rPr>
          <w:rFonts w:hint="eastAsia" w:ascii="仿宋_GB2312" w:hAnsi="仿宋_GB2312" w:eastAsia="仿宋_GB2312" w:cs="仿宋_GB2312"/>
          <w:sz w:val="32"/>
          <w:szCs w:val="32"/>
          <w:highlight w:val="none"/>
        </w:rPr>
        <w:t>。</w:t>
      </w:r>
    </w:p>
    <w:p w14:paraId="2C89E516">
      <w:pPr>
        <w:numPr>
          <w:ilvl w:val="0"/>
          <w:numId w:val="2"/>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14:paraId="5E8AD5A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360" w:leftChars="0" w:firstLine="320" w:firstLineChars="100"/>
        <w:textAlignment w:val="auto"/>
        <w:rPr>
          <w:rFonts w:hint="eastAsia" w:ascii="仿宋_GB2312" w:hAnsi="仿宋_GB2312" w:eastAsia="仿宋_GB2312" w:cs="仿宋_GB2312"/>
          <w:b w:val="0"/>
          <w:bCs w:val="0"/>
          <w:sz w:val="32"/>
          <w:szCs w:val="32"/>
          <w:lang w:val="en-US" w:eastAsia="zh-CN"/>
        </w:rPr>
      </w:pPr>
      <w:r>
        <w:rPr>
          <w:rFonts w:ascii="Times New Roman" w:hAnsi="Times New Roman" w:eastAsia="仿宋_GB2312" w:cs="Times New Roman"/>
          <w:color w:val="auto"/>
          <w:sz w:val="32"/>
          <w:szCs w:val="32"/>
          <w:highlight w:val="none"/>
        </w:rPr>
        <w:t>2025年度预算安排</w:t>
      </w:r>
      <w:r>
        <w:rPr>
          <w:rFonts w:hint="eastAsia" w:ascii="Times New Roman" w:hAnsi="Times New Roman" w:eastAsia="仿宋_GB2312" w:cs="Times New Roman"/>
          <w:color w:val="auto"/>
          <w:sz w:val="32"/>
          <w:szCs w:val="32"/>
          <w:highlight w:val="none"/>
          <w:lang w:val="en-US" w:eastAsia="zh-CN"/>
        </w:rPr>
        <w:t>一是</w:t>
      </w:r>
      <w:r>
        <w:rPr>
          <w:rFonts w:hint="eastAsia" w:ascii="Times New Roman" w:hAnsi="Times New Roman" w:eastAsia="仿宋_GB2312" w:cs="Times New Roman"/>
          <w:color w:val="auto"/>
          <w:sz w:val="32"/>
          <w:szCs w:val="32"/>
          <w:highlight w:val="none"/>
        </w:rPr>
        <w:t>严格执行预算，无超支或挪用现象。</w:t>
      </w:r>
      <w:r>
        <w:rPr>
          <w:rFonts w:hint="eastAsia" w:ascii="Times New Roman" w:hAnsi="Times New Roman" w:eastAsia="仿宋_GB2312" w:cs="Times New Roman"/>
          <w:color w:val="auto"/>
          <w:sz w:val="32"/>
          <w:szCs w:val="32"/>
          <w:highlight w:val="none"/>
          <w:lang w:val="en-US" w:eastAsia="zh-CN"/>
        </w:rPr>
        <w:t>二是</w:t>
      </w:r>
      <w:r>
        <w:rPr>
          <w:rFonts w:hint="eastAsia" w:ascii="Times New Roman" w:hAnsi="Times New Roman" w:eastAsia="仿宋_GB2312" w:cs="Times New Roman"/>
          <w:color w:val="auto"/>
          <w:sz w:val="32"/>
          <w:szCs w:val="32"/>
          <w:highlight w:val="none"/>
        </w:rPr>
        <w:t>通过定期审计确保项目进度与质量。</w:t>
      </w: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62BEA247">
      <w:pPr>
        <w:pStyle w:val="7"/>
        <w:rPr>
          <w:rFonts w:hint="eastAsia"/>
          <w:lang w:val="en-US" w:eastAsia="zh-CN"/>
        </w:rPr>
      </w:pPr>
    </w:p>
    <w:p w14:paraId="147E06D0">
      <w:pPr>
        <w:pStyle w:val="12"/>
        <w:jc w:val="both"/>
        <w:rPr>
          <w:rFonts w:hint="eastAsia" w:ascii="方正小标宋_GBK" w:hAnsi="方正小标宋_GBK" w:eastAsia="方正小标宋_GBK" w:cs="方正小标宋_GBK"/>
          <w:sz w:val="24"/>
          <w:szCs w:val="24"/>
        </w:rPr>
      </w:pPr>
    </w:p>
    <w:p w14:paraId="3DBC36B5">
      <w:pPr>
        <w:pStyle w:val="12"/>
        <w:jc w:val="both"/>
        <w:rPr>
          <w:rFonts w:hint="eastAsia" w:ascii="方正小标宋_GBK" w:hAnsi="方正小标宋_GBK" w:eastAsia="方正小标宋_GBK" w:cs="方正小标宋_GBK"/>
          <w:sz w:val="24"/>
          <w:szCs w:val="24"/>
        </w:rPr>
      </w:pPr>
    </w:p>
    <w:p w14:paraId="55D99FC3">
      <w:pPr>
        <w:pStyle w:val="12"/>
        <w:jc w:val="both"/>
        <w:rPr>
          <w:rFonts w:hint="eastAsia" w:ascii="方正小标宋_GBK" w:hAnsi="方正小标宋_GBK" w:eastAsia="方正小标宋_GBK" w:cs="方正小标宋_GBK"/>
          <w:sz w:val="24"/>
          <w:szCs w:val="24"/>
        </w:rPr>
      </w:pPr>
    </w:p>
    <w:p w14:paraId="5853B6FD">
      <w:pPr>
        <w:pStyle w:val="12"/>
        <w:jc w:val="both"/>
        <w:rPr>
          <w:rFonts w:hint="eastAsia" w:ascii="方正小标宋_GBK" w:hAnsi="方正小标宋_GBK" w:eastAsia="方正小标宋_GBK" w:cs="方正小标宋_GBK"/>
          <w:sz w:val="24"/>
          <w:szCs w:val="24"/>
        </w:rPr>
      </w:pPr>
    </w:p>
    <w:p w14:paraId="1239D76D">
      <w:pPr>
        <w:pStyle w:val="12"/>
        <w:jc w:val="both"/>
        <w:rPr>
          <w:rFonts w:hint="eastAsia" w:ascii="方正小标宋_GBK" w:hAnsi="方正小标宋_GBK" w:eastAsia="方正小标宋_GBK" w:cs="方正小标宋_GBK"/>
          <w:sz w:val="24"/>
          <w:szCs w:val="24"/>
        </w:rPr>
      </w:pPr>
    </w:p>
    <w:p w14:paraId="710CF8B3">
      <w:pPr>
        <w:pStyle w:val="12"/>
        <w:jc w:val="both"/>
        <w:rPr>
          <w:rFonts w:hint="eastAsia" w:ascii="方正小标宋_GBK" w:hAnsi="方正小标宋_GBK" w:eastAsia="方正小标宋_GBK" w:cs="方正小标宋_GBK"/>
          <w:sz w:val="24"/>
          <w:szCs w:val="24"/>
        </w:rPr>
      </w:pPr>
    </w:p>
    <w:p w14:paraId="5401B0E1">
      <w:pPr>
        <w:pStyle w:val="12"/>
        <w:jc w:val="both"/>
        <w:rPr>
          <w:rFonts w:hint="eastAsia" w:ascii="方正小标宋_GBK" w:hAnsi="方正小标宋_GBK" w:eastAsia="方正小标宋_GBK" w:cs="方正小标宋_GBK"/>
          <w:sz w:val="24"/>
          <w:szCs w:val="24"/>
        </w:rPr>
      </w:pPr>
    </w:p>
    <w:p w14:paraId="3A01B6B0">
      <w:pPr>
        <w:pStyle w:val="12"/>
        <w:jc w:val="center"/>
        <w:rPr>
          <w:rFonts w:hint="eastAsia" w:ascii="方正小标宋_GBK" w:hAnsi="方正小标宋_GBK" w:eastAsia="方正小标宋_GBK" w:cs="方正小标宋_GBK"/>
          <w:sz w:val="72"/>
          <w:szCs w:val="72"/>
        </w:rPr>
      </w:pPr>
    </w:p>
    <w:p w14:paraId="4E5D28FC">
      <w:pPr>
        <w:pStyle w:val="12"/>
        <w:jc w:val="center"/>
        <w:rPr>
          <w:rFonts w:hint="eastAsia" w:ascii="方正小标宋_GBK" w:hAnsi="方正小标宋_GBK" w:eastAsia="方正小标宋_GBK" w:cs="方正小标宋_GBK"/>
          <w:sz w:val="72"/>
          <w:szCs w:val="72"/>
        </w:rPr>
      </w:pPr>
    </w:p>
    <w:p w14:paraId="33401B7C">
      <w:pPr>
        <w:pStyle w:val="12"/>
        <w:jc w:val="center"/>
        <w:rPr>
          <w:rFonts w:hint="eastAsia" w:ascii="方正小标宋_GBK" w:hAnsi="方正小标宋_GBK" w:eastAsia="方正小标宋_GBK" w:cs="方正小标宋_GBK"/>
          <w:sz w:val="72"/>
          <w:szCs w:val="72"/>
        </w:rPr>
      </w:pPr>
    </w:p>
    <w:p w14:paraId="27C309FF">
      <w:pPr>
        <w:pStyle w:val="12"/>
        <w:jc w:val="center"/>
        <w:rPr>
          <w:rFonts w:hint="eastAsia" w:ascii="方正小标宋_GBK" w:hAnsi="方正小标宋_GBK" w:eastAsia="方正小标宋_GBK" w:cs="方正小标宋_GBK"/>
          <w:sz w:val="72"/>
          <w:szCs w:val="72"/>
        </w:rPr>
      </w:pPr>
    </w:p>
    <w:p w14:paraId="00FD53FE">
      <w:pPr>
        <w:pStyle w:val="12"/>
        <w:jc w:val="both"/>
        <w:rPr>
          <w:rFonts w:hint="eastAsia" w:ascii="方正小标宋_GBK" w:hAnsi="方正小标宋_GBK" w:eastAsia="方正小标宋_GBK" w:cs="方正小标宋_GBK"/>
          <w:sz w:val="72"/>
          <w:szCs w:val="72"/>
        </w:rPr>
      </w:pPr>
    </w:p>
    <w:p w14:paraId="475C1000">
      <w:pPr>
        <w:pStyle w:val="12"/>
        <w:jc w:val="center"/>
        <w:rPr>
          <w:rFonts w:hint="eastAsia" w:ascii="方正小标宋_GBK" w:hAnsi="方正小标宋_GBK" w:eastAsia="方正小标宋_GBK" w:cs="方正小标宋_GBK"/>
          <w:sz w:val="72"/>
          <w:szCs w:val="72"/>
        </w:rPr>
      </w:pPr>
    </w:p>
    <w:p w14:paraId="6A5A782C">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DDD6447">
      <w:pPr>
        <w:jc w:val="center"/>
        <w:rPr>
          <w:rFonts w:hint="eastAsia" w:ascii="方正小标宋_GBK" w:hAnsi="方正小标宋_GBK" w:eastAsia="方正小标宋_GBK" w:cs="方正小标宋_GBK"/>
          <w:color w:val="000000"/>
          <w:kern w:val="0"/>
          <w:sz w:val="70"/>
          <w:szCs w:val="70"/>
        </w:rPr>
      </w:pPr>
    </w:p>
    <w:p w14:paraId="41992F86">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71298D0">
      <w:pPr>
        <w:pStyle w:val="7"/>
      </w:pPr>
    </w:p>
    <w:p w14:paraId="5331F884">
      <w:pPr>
        <w:pStyle w:val="3"/>
      </w:pPr>
    </w:p>
    <w:p w14:paraId="2CCAD852"/>
    <w:p w14:paraId="440E89DF">
      <w:pPr>
        <w:pStyle w:val="7"/>
      </w:pPr>
    </w:p>
    <w:p w14:paraId="645B9B76">
      <w:pPr>
        <w:pStyle w:val="3"/>
      </w:pPr>
    </w:p>
    <w:p w14:paraId="539F25AC"/>
    <w:p w14:paraId="47AFAB8F">
      <w:pPr>
        <w:pStyle w:val="7"/>
      </w:pPr>
    </w:p>
    <w:p w14:paraId="479D6353">
      <w:pPr>
        <w:pStyle w:val="3"/>
      </w:pPr>
    </w:p>
    <w:p w14:paraId="648103ED"/>
    <w:p w14:paraId="08A5EA8F">
      <w:pPr>
        <w:pStyle w:val="7"/>
      </w:pPr>
    </w:p>
    <w:p w14:paraId="3FD0BAB6">
      <w:pPr>
        <w:pStyle w:val="3"/>
      </w:pPr>
    </w:p>
    <w:p w14:paraId="1CAE18D7"/>
    <w:p w14:paraId="5994BDDC">
      <w:pPr>
        <w:pStyle w:val="7"/>
      </w:pPr>
    </w:p>
    <w:p w14:paraId="51F60F8D">
      <w:pPr>
        <w:pStyle w:val="3"/>
      </w:pPr>
    </w:p>
    <w:p w14:paraId="715B8195"/>
    <w:p w14:paraId="3F608935">
      <w:pPr>
        <w:pStyle w:val="7"/>
      </w:pPr>
    </w:p>
    <w:p w14:paraId="274FE3C9">
      <w:pPr>
        <w:ind w:firstLine="640" w:firstLineChars="200"/>
        <w:jc w:val="left"/>
        <w:rPr>
          <w:rFonts w:hint="eastAsia" w:ascii="仿宋_GB2312" w:hAnsi="仿宋_GB2312" w:eastAsia="仿宋_GB2312" w:cs="仿宋_GB2312"/>
          <w:color w:val="000000"/>
          <w:kern w:val="0"/>
          <w:sz w:val="32"/>
          <w:szCs w:val="32"/>
        </w:rPr>
      </w:pPr>
    </w:p>
    <w:p w14:paraId="6FA18CE0">
      <w:pPr>
        <w:ind w:firstLine="640" w:firstLineChars="200"/>
        <w:jc w:val="left"/>
        <w:rPr>
          <w:rFonts w:hint="eastAsia" w:ascii="仿宋_GB2312" w:hAnsi="仿宋_GB2312" w:eastAsia="仿宋_GB2312" w:cs="仿宋_GB2312"/>
          <w:color w:val="000000"/>
          <w:kern w:val="0"/>
          <w:sz w:val="32"/>
          <w:szCs w:val="32"/>
        </w:rPr>
      </w:pPr>
    </w:p>
    <w:p w14:paraId="0A68FED1">
      <w:pPr>
        <w:ind w:firstLine="640" w:firstLineChars="200"/>
        <w:jc w:val="left"/>
        <w:rPr>
          <w:rFonts w:hint="eastAsia" w:ascii="仿宋_GB2312" w:hAnsi="仿宋_GB2312" w:eastAsia="仿宋_GB2312" w:cs="仿宋_GB2312"/>
          <w:color w:val="000000"/>
          <w:kern w:val="0"/>
          <w:sz w:val="32"/>
          <w:szCs w:val="32"/>
        </w:rPr>
      </w:pPr>
    </w:p>
    <w:p w14:paraId="1741E604">
      <w:pPr>
        <w:ind w:firstLine="640" w:firstLineChars="200"/>
        <w:jc w:val="left"/>
        <w:rPr>
          <w:rFonts w:hint="eastAsia" w:ascii="仿宋_GB2312" w:hAnsi="仿宋_GB2312" w:eastAsia="仿宋_GB2312" w:cs="仿宋_GB2312"/>
          <w:color w:val="000000"/>
          <w:kern w:val="0"/>
          <w:sz w:val="32"/>
          <w:szCs w:val="32"/>
        </w:rPr>
      </w:pPr>
    </w:p>
    <w:p w14:paraId="02E59030">
      <w:pPr>
        <w:ind w:firstLine="640" w:firstLineChars="200"/>
        <w:jc w:val="left"/>
        <w:rPr>
          <w:rFonts w:hint="eastAsia" w:ascii="仿宋_GB2312" w:hAnsi="仿宋_GB2312" w:eastAsia="仿宋_GB2312" w:cs="仿宋_GB2312"/>
          <w:color w:val="000000"/>
          <w:kern w:val="0"/>
          <w:sz w:val="32"/>
          <w:szCs w:val="32"/>
        </w:rPr>
      </w:pPr>
    </w:p>
    <w:p w14:paraId="61CE71B9">
      <w:pPr>
        <w:pStyle w:val="7"/>
        <w:rPr>
          <w:rFonts w:hint="eastAsia"/>
        </w:rPr>
      </w:pPr>
    </w:p>
    <w:p w14:paraId="793F6BC2">
      <w:pPr>
        <w:ind w:firstLine="640" w:firstLineChars="200"/>
        <w:jc w:val="left"/>
        <w:rPr>
          <w:rFonts w:hint="eastAsia" w:ascii="仿宋_GB2312" w:hAnsi="仿宋_GB2312" w:eastAsia="仿宋_GB2312" w:cs="仿宋_GB2312"/>
          <w:color w:val="000000"/>
          <w:kern w:val="0"/>
          <w:sz w:val="32"/>
          <w:szCs w:val="32"/>
        </w:rPr>
      </w:pPr>
    </w:p>
    <w:p w14:paraId="754BC71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75346A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14:paraId="30E2682B">
      <w:pPr>
        <w:ind w:firstLine="640" w:firstLineChars="200"/>
        <w:jc w:val="left"/>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rPr>
        <w:t>三、</w:t>
      </w:r>
      <w:r>
        <w:rPr>
          <w:rFonts w:hint="eastAsia" w:ascii="仿宋_GB2312" w:hAnsi="仿宋_GB2312" w:eastAsia="仿宋_GB2312" w:cs="仿宋_GB2312"/>
          <w:color w:val="000000"/>
          <w:kern w:val="0"/>
          <w:sz w:val="32"/>
          <w:szCs w:val="32"/>
          <w:lang w:eastAsia="zh-CN"/>
        </w:rPr>
        <w:t>……</w:t>
      </w:r>
    </w:p>
    <w:p w14:paraId="4A4E5DB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2AE81CE8">
      <w:pPr>
        <w:pStyle w:val="12"/>
        <w:jc w:val="center"/>
        <w:rPr>
          <w:rFonts w:hint="eastAsia" w:ascii="仿宋_GB2312" w:hAnsi="仿宋_GB2312" w:eastAsia="仿宋_GB2312" w:cs="仿宋_GB2312"/>
          <w:sz w:val="32"/>
          <w:szCs w:val="32"/>
        </w:rPr>
      </w:pPr>
    </w:p>
    <w:p w14:paraId="1D47518A">
      <w:pPr>
        <w:pStyle w:val="3"/>
      </w:pPr>
    </w:p>
    <w:p w14:paraId="580CF8E4"/>
    <w:p w14:paraId="0C17744C">
      <w:pPr>
        <w:pStyle w:val="7"/>
      </w:pPr>
    </w:p>
    <w:p w14:paraId="7B8BABF4">
      <w:pPr>
        <w:pStyle w:val="3"/>
      </w:pPr>
    </w:p>
    <w:p w14:paraId="1942C0DC"/>
    <w:p w14:paraId="6E2D1EEF">
      <w:pPr>
        <w:pStyle w:val="7"/>
      </w:pPr>
    </w:p>
    <w:p w14:paraId="5F6ABC3B">
      <w:pPr>
        <w:pStyle w:val="3"/>
      </w:pPr>
    </w:p>
    <w:p w14:paraId="51BE6437"/>
    <w:p w14:paraId="05344CBA">
      <w:pPr>
        <w:pStyle w:val="7"/>
      </w:pPr>
    </w:p>
    <w:p w14:paraId="5C9170AD">
      <w:pPr>
        <w:pStyle w:val="3"/>
      </w:pPr>
    </w:p>
    <w:p w14:paraId="29D3A91E"/>
    <w:p w14:paraId="0D2A994E">
      <w:pPr>
        <w:pStyle w:val="7"/>
      </w:pPr>
    </w:p>
    <w:p w14:paraId="59CBCCA7">
      <w:pPr>
        <w:pStyle w:val="3"/>
      </w:pPr>
    </w:p>
    <w:p w14:paraId="67806EBD"/>
    <w:p w14:paraId="7C18BB03">
      <w:pPr>
        <w:pStyle w:val="7"/>
      </w:pPr>
    </w:p>
    <w:p w14:paraId="29230CAD">
      <w:pPr>
        <w:pStyle w:val="3"/>
      </w:pPr>
    </w:p>
    <w:p w14:paraId="724E0A54"/>
    <w:p w14:paraId="496F732E">
      <w:pPr>
        <w:pStyle w:val="7"/>
      </w:pPr>
    </w:p>
    <w:p w14:paraId="354ECFD8">
      <w:pPr>
        <w:pStyle w:val="3"/>
      </w:pPr>
    </w:p>
    <w:p w14:paraId="51C67B38"/>
    <w:p w14:paraId="4D131F3E"/>
    <w:p w14:paraId="7CFBCE3C">
      <w:pPr>
        <w:pStyle w:val="7"/>
      </w:pPr>
    </w:p>
    <w:p w14:paraId="5C3DE094">
      <w:pPr>
        <w:pStyle w:val="12"/>
        <w:jc w:val="both"/>
        <w:rPr>
          <w:rFonts w:hint="eastAsia" w:ascii="方正小标宋_GBK" w:hAnsi="方正小标宋_GBK" w:eastAsia="方正小标宋_GBK" w:cs="方正小标宋_GBK"/>
          <w:sz w:val="72"/>
          <w:szCs w:val="72"/>
        </w:rPr>
      </w:pPr>
    </w:p>
    <w:p w14:paraId="0C1858E3">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2BF6CA">
      <w:pPr>
        <w:pStyle w:val="12"/>
        <w:jc w:val="both"/>
        <w:rPr>
          <w:rFonts w:hint="eastAsia" w:ascii="方正小标宋_GBK" w:hAnsi="方正小标宋_GBK" w:eastAsia="方正小标宋_GBK" w:cs="方正小标宋_GBK"/>
          <w:sz w:val="70"/>
          <w:szCs w:val="70"/>
          <w:lang w:eastAsia="zh-CN"/>
        </w:rPr>
      </w:pPr>
    </w:p>
    <w:p w14:paraId="490142D3">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43C04E">
      <w:pPr>
        <w:ind w:firstLine="640" w:firstLineChars="200"/>
        <w:jc w:val="left"/>
        <w:rPr>
          <w:rFonts w:hint="eastAsia" w:ascii="宋体" w:hAnsi="宋体" w:eastAsia="宋体" w:cs="黑体"/>
          <w:b/>
          <w:color w:val="000000"/>
          <w:kern w:val="0"/>
          <w:sz w:val="32"/>
          <w:szCs w:val="32"/>
          <w:lang w:val="en-US" w:eastAsia="zh-CN"/>
        </w:rPr>
      </w:pPr>
    </w:p>
    <w:p w14:paraId="4EAC935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14:paraId="27E2EE8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14:paraId="045AD96C"/>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3MzViMmE2YWZlNDc3OTc2ZGEwMzE1ZWNhZmZmNzE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457570"/>
    <w:rsid w:val="059958AD"/>
    <w:rsid w:val="06C857E7"/>
    <w:rsid w:val="08C24A73"/>
    <w:rsid w:val="0CFF0F1B"/>
    <w:rsid w:val="11944E2C"/>
    <w:rsid w:val="12583BA5"/>
    <w:rsid w:val="13BA5B9C"/>
    <w:rsid w:val="14B734C0"/>
    <w:rsid w:val="17B7090E"/>
    <w:rsid w:val="18842C1C"/>
    <w:rsid w:val="1890336F"/>
    <w:rsid w:val="1D97DEFF"/>
    <w:rsid w:val="1DFF72E5"/>
    <w:rsid w:val="1EFC6F07"/>
    <w:rsid w:val="1F0527A6"/>
    <w:rsid w:val="22AC03C2"/>
    <w:rsid w:val="283B15FE"/>
    <w:rsid w:val="2F074388"/>
    <w:rsid w:val="2FDF85B8"/>
    <w:rsid w:val="2FFFEE04"/>
    <w:rsid w:val="31C95635"/>
    <w:rsid w:val="34DF85B0"/>
    <w:rsid w:val="3B8F36BC"/>
    <w:rsid w:val="43EB5BA5"/>
    <w:rsid w:val="491FF225"/>
    <w:rsid w:val="4EC310A1"/>
    <w:rsid w:val="4FD934D3"/>
    <w:rsid w:val="4FFD214C"/>
    <w:rsid w:val="52D4455E"/>
    <w:rsid w:val="5352765A"/>
    <w:rsid w:val="552F7491"/>
    <w:rsid w:val="5777D4F5"/>
    <w:rsid w:val="57F22B6F"/>
    <w:rsid w:val="59DD8326"/>
    <w:rsid w:val="5DEF592A"/>
    <w:rsid w:val="5FC6BB1E"/>
    <w:rsid w:val="5FF720F1"/>
    <w:rsid w:val="622964C1"/>
    <w:rsid w:val="654A1D9D"/>
    <w:rsid w:val="67FF5C0B"/>
    <w:rsid w:val="6BAA4A2F"/>
    <w:rsid w:val="6DDEC5C0"/>
    <w:rsid w:val="6EFC0924"/>
    <w:rsid w:val="6FB74722"/>
    <w:rsid w:val="6FEF8B7E"/>
    <w:rsid w:val="70213B9F"/>
    <w:rsid w:val="717FE77F"/>
    <w:rsid w:val="71A6591B"/>
    <w:rsid w:val="737D59BA"/>
    <w:rsid w:val="737F32B1"/>
    <w:rsid w:val="73BD3FCA"/>
    <w:rsid w:val="776BDA01"/>
    <w:rsid w:val="77C37683"/>
    <w:rsid w:val="79FF515B"/>
    <w:rsid w:val="7C3F0C3C"/>
    <w:rsid w:val="7DFBFF20"/>
    <w:rsid w:val="7E9E1962"/>
    <w:rsid w:val="7E9F11B4"/>
    <w:rsid w:val="7F37EC1E"/>
    <w:rsid w:val="7F7C0DDA"/>
    <w:rsid w:val="7F7DCD9D"/>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next w:val="1"/>
    <w:unhideWhenUsed/>
    <w:qFormat/>
    <w:uiPriority w:val="99"/>
    <w:pPr>
      <w:ind w:firstLine="420" w:firstLine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3"/>
    <w:semiHidden/>
    <w:qFormat/>
    <w:uiPriority w:val="0"/>
    <w:pPr>
      <w:snapToGrid w:val="0"/>
      <w:jc w:val="left"/>
    </w:pPr>
    <w:rPr>
      <w:sz w:val="18"/>
      <w:szCs w:val="18"/>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4"/>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16</Pages>
  <Words>5262</Words>
  <Characters>5730</Characters>
  <Lines>63</Lines>
  <Paragraphs>18</Paragraphs>
  <TotalTime>19</TotalTime>
  <ScaleCrop>false</ScaleCrop>
  <LinksUpToDate>false</LinksUpToDate>
  <CharactersWithSpaces>5751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killer</cp:lastModifiedBy>
  <cp:lastPrinted>2025-09-23T02:55:00Z</cp:lastPrinted>
  <dcterms:modified xsi:type="dcterms:W3CDTF">2025-09-23T07:12:08Z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F6F78F8B1DF44C5DAC6836C38ED63A39_13</vt:lpwstr>
  </property>
</Properties>
</file>