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DCFF1">
      <w:pPr>
        <w:pStyle w:val="15"/>
        <w:jc w:val="center"/>
        <w:rPr>
          <w:sz w:val="56"/>
          <w:szCs w:val="56"/>
        </w:rPr>
      </w:pPr>
    </w:p>
    <w:p w14:paraId="3BDF5AB8">
      <w:pPr>
        <w:pStyle w:val="15"/>
        <w:jc w:val="center"/>
        <w:rPr>
          <w:sz w:val="56"/>
          <w:szCs w:val="56"/>
        </w:rPr>
      </w:pPr>
    </w:p>
    <w:p w14:paraId="60CA4575">
      <w:pPr>
        <w:pStyle w:val="15"/>
        <w:jc w:val="center"/>
        <w:rPr>
          <w:sz w:val="84"/>
          <w:szCs w:val="84"/>
        </w:rPr>
      </w:pPr>
    </w:p>
    <w:p w14:paraId="215EB31D">
      <w:pPr>
        <w:pStyle w:val="15"/>
        <w:jc w:val="center"/>
        <w:rPr>
          <w:sz w:val="84"/>
          <w:szCs w:val="84"/>
        </w:rPr>
      </w:pPr>
    </w:p>
    <w:p w14:paraId="376C8602">
      <w:pPr>
        <w:pStyle w:val="1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 w14:paraId="2BA9D969">
      <w:pPr>
        <w:pStyle w:val="1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岳阳市林业科学研究所</w:t>
      </w:r>
    </w:p>
    <w:p w14:paraId="6934EBE9">
      <w:pPr>
        <w:pStyle w:val="1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 w14:paraId="3A699C16">
      <w:pPr>
        <w:pStyle w:val="15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 w14:paraId="72C8FB58">
      <w:pPr>
        <w:pStyle w:val="15"/>
        <w:jc w:val="center"/>
        <w:rPr>
          <w:sz w:val="56"/>
          <w:szCs w:val="56"/>
        </w:rPr>
      </w:pPr>
    </w:p>
    <w:p w14:paraId="25018D25">
      <w:pPr>
        <w:pStyle w:val="15"/>
        <w:jc w:val="center"/>
        <w:rPr>
          <w:sz w:val="56"/>
          <w:szCs w:val="56"/>
        </w:rPr>
      </w:pPr>
    </w:p>
    <w:p w14:paraId="5EE73A38">
      <w:pPr>
        <w:pStyle w:val="15"/>
        <w:jc w:val="center"/>
        <w:rPr>
          <w:sz w:val="56"/>
          <w:szCs w:val="56"/>
        </w:rPr>
      </w:pPr>
    </w:p>
    <w:p w14:paraId="297571C5">
      <w:pPr>
        <w:pStyle w:val="15"/>
        <w:jc w:val="center"/>
        <w:rPr>
          <w:sz w:val="32"/>
          <w:szCs w:val="32"/>
        </w:rPr>
      </w:pPr>
    </w:p>
    <w:p w14:paraId="08493D1E">
      <w:pPr>
        <w:pStyle w:val="15"/>
        <w:jc w:val="center"/>
        <w:rPr>
          <w:sz w:val="32"/>
          <w:szCs w:val="32"/>
        </w:rPr>
      </w:pPr>
    </w:p>
    <w:p w14:paraId="5BD6E8BD">
      <w:pPr>
        <w:pStyle w:val="15"/>
        <w:jc w:val="center"/>
        <w:rPr>
          <w:sz w:val="32"/>
          <w:szCs w:val="32"/>
        </w:rPr>
      </w:pPr>
    </w:p>
    <w:p w14:paraId="459C483D">
      <w:pPr>
        <w:pStyle w:val="15"/>
        <w:spacing w:line="500" w:lineRule="exact"/>
        <w:jc w:val="both"/>
        <w:rPr>
          <w:b/>
          <w:sz w:val="36"/>
          <w:szCs w:val="28"/>
        </w:rPr>
      </w:pPr>
    </w:p>
    <w:p w14:paraId="24F3309B">
      <w:pPr>
        <w:pStyle w:val="15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 w14:paraId="6CBD0C22">
      <w:pPr>
        <w:pStyle w:val="15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>岳阳市林业科学研究所单位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概况</w:t>
      </w:r>
    </w:p>
    <w:p w14:paraId="060CB1DC">
      <w:pPr>
        <w:pStyle w:val="15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 w14:paraId="315E49DA">
      <w:pPr>
        <w:pStyle w:val="15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及决算单位构成</w:t>
      </w:r>
    </w:p>
    <w:p w14:paraId="3CE431DD">
      <w:pPr>
        <w:pStyle w:val="15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 w14:paraId="4B1DE222">
      <w:pPr>
        <w:pStyle w:val="15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 w14:paraId="28DAEA9B">
      <w:pPr>
        <w:pStyle w:val="15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 w14:paraId="4189E141">
      <w:pPr>
        <w:pStyle w:val="15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 w14:paraId="0621647E">
      <w:pPr>
        <w:pStyle w:val="15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 w14:paraId="28E0B171">
      <w:pPr>
        <w:pStyle w:val="15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 w14:paraId="0A1DA969">
      <w:pPr>
        <w:pStyle w:val="15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 w14:paraId="62E9A333">
      <w:pPr>
        <w:pStyle w:val="15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 w14:paraId="316661B6">
      <w:pPr>
        <w:pStyle w:val="15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 w14:paraId="23827588">
      <w:pPr>
        <w:pStyle w:val="15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 w14:paraId="69B4707F">
      <w:pPr>
        <w:pStyle w:val="15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 w14:paraId="30D2819C">
      <w:pPr>
        <w:pStyle w:val="15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 w14:paraId="2F99AFEC"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 w14:paraId="69796A82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 w14:paraId="42F5763D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 w14:paraId="4551B6B2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 w14:paraId="0BC2CE30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 w14:paraId="11D85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 w14:paraId="5F6B5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情况</w:t>
      </w:r>
    </w:p>
    <w:p w14:paraId="71D91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 w14:paraId="371B6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 w14:paraId="1624E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 w14:paraId="6C86A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 w14:paraId="5E15A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 w14:paraId="5BD7D26C">
      <w:pPr>
        <w:pStyle w:val="15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202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绩效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管理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情况的说明</w:t>
      </w:r>
    </w:p>
    <w:p w14:paraId="51852483">
      <w:pPr>
        <w:pStyle w:val="15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 w14:paraId="7D866A9C">
      <w:pPr>
        <w:pStyle w:val="15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 w14:paraId="2E7F14A9">
      <w:pPr>
        <w:pStyle w:val="1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0B1F0D8">
      <w:pPr>
        <w:pStyle w:val="15"/>
        <w:jc w:val="both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0DEEC249">
      <w:pPr>
        <w:pStyle w:val="1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 w14:paraId="5C6A94F8">
      <w:pPr>
        <w:pStyle w:val="1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B201681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岳阳市林业科学研究所</w:t>
      </w:r>
    </w:p>
    <w:p w14:paraId="5EF69A9D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单位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概况</w:t>
      </w:r>
    </w:p>
    <w:p w14:paraId="77A0C778"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97AC3FB"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469560B">
      <w:pPr>
        <w:pStyle w:val="3"/>
        <w:ind w:left="0" w:leftChars="0" w:firstLine="0" w:firstLineChars="0"/>
        <w:rPr>
          <w:rFonts w:hint="eastAsia" w:ascii="方正小标宋_GBK" w:hAnsi="方正小标宋_GBK" w:eastAsia="方正小标宋_GBK" w:cs="方正小标宋_GBK"/>
          <w:sz w:val="30"/>
          <w:szCs w:val="30"/>
        </w:rPr>
      </w:pPr>
    </w:p>
    <w:p w14:paraId="11A44B8E">
      <w:pPr>
        <w:pStyle w:val="3"/>
        <w:ind w:left="0" w:leftChars="0" w:firstLine="0" w:firstLineChars="0"/>
        <w:rPr>
          <w:rFonts w:hint="eastAsia" w:ascii="方正小标宋_GBK" w:hAnsi="方正小标宋_GBK" w:eastAsia="方正小标宋_GBK" w:cs="方正小标宋_GBK"/>
          <w:sz w:val="30"/>
          <w:szCs w:val="30"/>
        </w:rPr>
      </w:pPr>
    </w:p>
    <w:p w14:paraId="48F4284C">
      <w:pPr>
        <w:pStyle w:val="3"/>
        <w:ind w:left="0" w:leftChars="0" w:firstLine="0" w:firstLineChars="0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5E857AF">
      <w:pPr>
        <w:pStyle w:val="16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 w14:paraId="26A9CE52">
      <w:pPr>
        <w:numPr>
          <w:ilvl w:val="0"/>
          <w:numId w:val="2"/>
        </w:numPr>
        <w:ind w:firstLine="800" w:firstLineChars="250"/>
        <w:jc w:val="lef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为机关提供支持保障的职能</w:t>
      </w:r>
    </w:p>
    <w:p w14:paraId="00DEC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.负责开展基础性、公益性林业科学研究，组织林业科技攻关。</w:t>
      </w:r>
    </w:p>
    <w:p w14:paraId="56DFEE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负责林业新成果、新技术与新产品的试验和推广。</w:t>
      </w:r>
    </w:p>
    <w:p w14:paraId="5F6C3A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承担林业科研项目，开展林业科研对外交流与合作。</w:t>
      </w:r>
    </w:p>
    <w:p w14:paraId="7DF87CB4">
      <w:pPr>
        <w:pStyle w:val="2"/>
        <w:numPr>
          <w:ilvl w:val="0"/>
          <w:numId w:val="0"/>
        </w:numPr>
        <w:rPr>
          <w:rFonts w:hint="eastAsia"/>
        </w:rPr>
      </w:pPr>
    </w:p>
    <w:p w14:paraId="3DD68A6C">
      <w:pPr>
        <w:numPr>
          <w:ilvl w:val="0"/>
          <w:numId w:val="2"/>
        </w:numPr>
        <w:ind w:left="0" w:leftChars="0" w:firstLine="800" w:firstLineChars="250"/>
        <w:jc w:val="lef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面向社会提供公益服务的职能</w:t>
      </w:r>
    </w:p>
    <w:p w14:paraId="7228D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1.承担全市林业科技发展中长期规划制定。</w:t>
      </w:r>
    </w:p>
    <w:p w14:paraId="6A327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承担全市生态文明建设、乡村振兴及城乡绿化、森林经营、资源保护等科技咨询和技术服务。</w:t>
      </w:r>
    </w:p>
    <w:p w14:paraId="3A3D9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承担全市林业科普宣传和教育。</w:t>
      </w:r>
    </w:p>
    <w:p w14:paraId="6A104A96">
      <w:pPr>
        <w:pStyle w:val="2"/>
        <w:rPr>
          <w:rFonts w:hint="eastAsia"/>
          <w:lang w:val="zh-CN" w:eastAsia="zh-CN"/>
        </w:rPr>
      </w:pPr>
    </w:p>
    <w:p w14:paraId="38552102">
      <w:pPr>
        <w:numPr>
          <w:ilvl w:val="0"/>
          <w:numId w:val="2"/>
        </w:numPr>
        <w:ind w:left="0" w:leftChars="0" w:firstLine="800" w:firstLineChars="250"/>
        <w:jc w:val="left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面向社会提供公益服务的职能</w:t>
      </w:r>
    </w:p>
    <w:p w14:paraId="1F62F3BC">
      <w:pPr>
        <w:pStyle w:val="2"/>
        <w:rPr>
          <w:rFonts w:hint="eastAsia"/>
          <w:lang w:val="zh-CN" w:eastAsia="zh-CN"/>
        </w:rPr>
      </w:pPr>
    </w:p>
    <w:p w14:paraId="5E606AFF">
      <w:pPr>
        <w:pStyle w:val="2"/>
        <w:rPr>
          <w:rFonts w:hint="eastAsia"/>
          <w:lang w:val="zh-CN" w:eastAsia="zh-CN"/>
        </w:rPr>
      </w:pPr>
    </w:p>
    <w:p w14:paraId="2DC82B10"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 w14:paraId="77C229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岳阳市林业科学研究所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内设机构包括：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、财务室、党建办、科研办、基地办、工会。</w:t>
      </w:r>
    </w:p>
    <w:p w14:paraId="3D9EF3E2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（二）决算单位构成。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本单位无独立核算的下属单位，2024年度部门决算汇总公开单位仅包括岳阳市林业科学研究所本级。</w:t>
      </w:r>
    </w:p>
    <w:p w14:paraId="38152785"/>
    <w:p w14:paraId="3CE56614">
      <w:pPr>
        <w:pStyle w:val="2"/>
      </w:pPr>
    </w:p>
    <w:p w14:paraId="70B4D569">
      <w:pPr>
        <w:pStyle w:val="3"/>
      </w:pPr>
    </w:p>
    <w:p w14:paraId="5B1D6CBC"/>
    <w:p w14:paraId="7D6C31E4">
      <w:pPr>
        <w:pStyle w:val="2"/>
      </w:pPr>
    </w:p>
    <w:p w14:paraId="056E4ECA">
      <w:pPr>
        <w:pStyle w:val="3"/>
      </w:pPr>
    </w:p>
    <w:p w14:paraId="3288C9C5"/>
    <w:p w14:paraId="14507043">
      <w:pPr>
        <w:pStyle w:val="2"/>
      </w:pPr>
    </w:p>
    <w:p w14:paraId="465EA8BD">
      <w:pPr>
        <w:pStyle w:val="3"/>
      </w:pPr>
    </w:p>
    <w:p w14:paraId="49E51758"/>
    <w:p w14:paraId="3DC8C6CD">
      <w:pPr>
        <w:pStyle w:val="2"/>
      </w:pPr>
    </w:p>
    <w:p w14:paraId="36E702E5">
      <w:pPr>
        <w:pStyle w:val="3"/>
      </w:pPr>
    </w:p>
    <w:p w14:paraId="0416550A"/>
    <w:p w14:paraId="28B49BCE">
      <w:pPr>
        <w:pStyle w:val="2"/>
      </w:pPr>
    </w:p>
    <w:p w14:paraId="43291855">
      <w:pPr>
        <w:pStyle w:val="3"/>
      </w:pPr>
    </w:p>
    <w:p w14:paraId="7CD92489"/>
    <w:p w14:paraId="2B49F2B7">
      <w:pPr>
        <w:pStyle w:val="15"/>
        <w:jc w:val="both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73A9E2DA">
      <w:pPr>
        <w:pStyle w:val="15"/>
        <w:jc w:val="both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61BBFC8">
      <w:pPr>
        <w:pStyle w:val="1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 w14:paraId="5FB02ED5">
      <w:pPr>
        <w:pStyle w:val="1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860F185">
      <w:pPr>
        <w:pStyle w:val="1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 w14:paraId="50A5962C">
      <w:pPr>
        <w:pStyle w:val="15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 w14:paraId="325AF5B5">
      <w:pPr>
        <w:pStyle w:val="15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0568D1B8">
      <w:pPr>
        <w:pStyle w:val="15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5C65B646">
      <w:pPr>
        <w:pStyle w:val="15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2EA5E89">
      <w:pPr>
        <w:pStyle w:val="15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3BFFD84">
      <w:pPr>
        <w:pStyle w:val="15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4565BABE">
      <w:pPr>
        <w:pStyle w:val="15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EEAB3EF">
      <w:pPr>
        <w:pStyle w:val="15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7A44A82E">
      <w:pPr>
        <w:pStyle w:val="15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6211665">
      <w:pPr>
        <w:pStyle w:val="15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E440DBF">
      <w:pPr>
        <w:pStyle w:val="15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804FBAA">
      <w:pPr>
        <w:pStyle w:val="1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 w14:paraId="7D53C949">
      <w:pPr>
        <w:pStyle w:val="15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4F77A5A6">
      <w:pPr>
        <w:pStyle w:val="15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 w14:paraId="17862F93">
      <w:pPr>
        <w:pStyle w:val="15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6EEC30AB">
      <w:pPr>
        <w:pStyle w:val="15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417367C1">
      <w:pPr>
        <w:pStyle w:val="15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5EF1049C">
      <w:pPr>
        <w:pStyle w:val="15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514C0722">
      <w:pPr>
        <w:pStyle w:val="15"/>
        <w:jc w:val="both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111D7AB8"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说明：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由于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决算编制时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明细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至“金额单位：元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本套部门决算文字说明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和公开表格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取数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转换为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金额单位：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万元”，可能导致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以下文字说明中的各项数据取数以及公开</w:t>
      </w:r>
      <w:r>
        <w:rPr>
          <w:rFonts w:hint="eastAsia" w:ascii="仿宋_GB2312" w:hAnsi="仿宋_GB2312" w:eastAsia="仿宋_GB2312" w:cs="仿宋_GB2312"/>
          <w:sz w:val="32"/>
          <w:szCs w:val="32"/>
        </w:rPr>
        <w:t>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中的各项数据取数之间存在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0.01的尾数差异。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2、以下文字说明中，部分科目由于预算数为0，无法计算完成年初预算的百分比，故未描述“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完成年初预算的XX%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 w14:paraId="2411C081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 w14:paraId="5CDCBAD6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795.62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3.89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0.49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本年度减少了人员经费等。</w:t>
      </w:r>
    </w:p>
    <w:p w14:paraId="07DA9E3F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 w14:paraId="31284672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795.62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789.08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99.18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6.54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0.82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2D1A2B4D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 w14:paraId="28222937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795.62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627.93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78.92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167.69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21.08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69857526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 w14:paraId="4ED35F49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789.08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21.04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2.74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本年度增加了项目经费等。</w:t>
      </w:r>
    </w:p>
    <w:p w14:paraId="4BB30A62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 w14:paraId="60232831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 w14:paraId="76CAEDEF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789.08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99.18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21.04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2.74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本年度增加了项目经费等。</w:t>
      </w:r>
    </w:p>
    <w:p w14:paraId="66C54C85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 w14:paraId="100B560A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789.08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万元，主要用于以下方面：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科学技术支出（类）10.00万元，占1.27%；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社会保障和就业支出（类）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51.83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6.57</w:t>
      </w:r>
      <w:r>
        <w:rPr>
          <w:rFonts w:hint="eastAsia" w:ascii="仿宋_GB2312" w:hAnsi="仿宋_GB2312" w:eastAsia="仿宋_GB2312" w:cs="仿宋_GB2312"/>
          <w:sz w:val="32"/>
          <w:szCs w:val="32"/>
        </w:rPr>
        <w:t>%；卫生健康支出（类）37.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</w:t>
      </w:r>
      <w:r>
        <w:rPr>
          <w:rFonts w:hint="eastAsia" w:ascii="仿宋_GB2312" w:hAnsi="仿宋_GB2312" w:eastAsia="仿宋_GB2312" w:cs="仿宋_GB2312"/>
          <w:sz w:val="32"/>
          <w:szCs w:val="32"/>
        </w:rPr>
        <w:t>%；节能环保支出（类）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5.70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%；农林水支出（类）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595.15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75.42</w:t>
      </w:r>
      <w:r>
        <w:rPr>
          <w:rFonts w:hint="eastAsia" w:ascii="仿宋_GB2312" w:hAnsi="仿宋_GB2312" w:eastAsia="仿宋_GB2312" w:cs="仿宋_GB2312"/>
          <w:sz w:val="32"/>
          <w:szCs w:val="32"/>
        </w:rPr>
        <w:t>%；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交通运输支出（类）20.00万元，占2.53%；</w:t>
      </w:r>
      <w:r>
        <w:rPr>
          <w:rFonts w:hint="eastAsia" w:ascii="仿宋_GB2312" w:hAnsi="仿宋_GB2312" w:eastAsia="仿宋_GB2312" w:cs="仿宋_GB2312"/>
          <w:sz w:val="32"/>
          <w:szCs w:val="32"/>
        </w:rPr>
        <w:t>住房保障支出（类）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29.36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3.72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5CDBADF9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 w14:paraId="5B07DAE0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年度财政拨款支出年初预算数为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626.53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789.08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125.94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</w:t>
      </w:r>
    </w:p>
    <w:p w14:paraId="237A4D60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1、科学技术支出（类）其他科学技术支出（款）其他科学技术支出（项）。</w:t>
      </w:r>
    </w:p>
    <w:p w14:paraId="5D4E125B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万元，决算数大于年初预算数的主要原因是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其他科学技术支出为2024年新增项目经费。</w:t>
      </w:r>
    </w:p>
    <w:p w14:paraId="3443D2AF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2、社会保障和就业支出（类）行政事业单位养老支出（款）机关事业单位基本养老保险缴费支出（项）。</w:t>
      </w:r>
    </w:p>
    <w:p w14:paraId="6D40D851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46.99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41.17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87.61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%，决算数小于年初预算数的主要原因是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2024年存在退休人员。</w:t>
      </w:r>
    </w:p>
    <w:p w14:paraId="211AB4DA">
      <w:pPr>
        <w:pStyle w:val="1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社会保障和就业支出（类）残疾人事业（款）其他残疾人事业支出（项）。</w:t>
      </w:r>
    </w:p>
    <w:p w14:paraId="4B71E846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的主要原因是</w:t>
      </w:r>
      <w:r>
        <w:rPr>
          <w:rFonts w:hint="eastAsia" w:ascii="Times New Roman" w:hAnsi="Times New Roman" w:eastAsia="仿宋_GB2312"/>
          <w:sz w:val="32"/>
          <w:szCs w:val="32"/>
        </w:rPr>
        <w:t>支出决算数等于预算数，所以年末没有结余。</w:t>
      </w:r>
    </w:p>
    <w:p w14:paraId="60EBB1F3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4、社会保障和就业支出（类）抚恤（款）其他优抚支出（项）。</w:t>
      </w:r>
    </w:p>
    <w:p w14:paraId="522ED68C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年初预算为0万元，支出决算为6.52万元，决算数大于年初预算数的主要原因是2024年存在死亡人员。</w:t>
      </w:r>
    </w:p>
    <w:p w14:paraId="17D77EC0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5、社会保障和就业支出（类）其他社会保障和就业支出（款）其他社会保障和就业支出（项）。</w:t>
      </w:r>
    </w:p>
    <w:p w14:paraId="6A5D678E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年初预算为0.86万元，支出决算为0.82万元，完成年初预算的95.35%，决算数大于年初预算数的主要原因是2024年存在退休人员。</w:t>
      </w:r>
    </w:p>
    <w:p w14:paraId="4EA32F6B">
      <w:pPr>
        <w:pStyle w:val="15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卫生健康支出（类）行政事业单位医疗（款）事业单位医疗（项）。</w:t>
      </w:r>
    </w:p>
    <w:p w14:paraId="12F17F26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年初预算为37.73万元，支出决算为37.73万元，完成年初预算的100%，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的主要原因是</w:t>
      </w:r>
      <w:r>
        <w:rPr>
          <w:rFonts w:hint="eastAsia" w:ascii="Times New Roman" w:hAnsi="Times New Roman" w:eastAsia="仿宋_GB2312"/>
          <w:sz w:val="32"/>
          <w:szCs w:val="32"/>
        </w:rPr>
        <w:t>支出决算数等于预算数，所以年末没有结余。</w:t>
      </w:r>
    </w:p>
    <w:p w14:paraId="58A9A7BD">
      <w:pPr>
        <w:pStyle w:val="15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节能环保支出（类）自然生态保护（款）其他自然生态保护支出（项）。</w:t>
      </w:r>
    </w:p>
    <w:p w14:paraId="7C9A24BD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年初预算为0万元，支出决算为45.00万元，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大于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的主要原因是其他自然生态保护支出为2024年新增项目经费。</w:t>
      </w:r>
    </w:p>
    <w:p w14:paraId="3C095A08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8、农林水支出（类）林业和草原（款）一般行政管理事务（项）。</w:t>
      </w:r>
    </w:p>
    <w:p w14:paraId="1AD0B9C7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34.6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32.87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万元，完成年初预算的95.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按照政策要求，下调5%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5F5B0664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9、农林水支出（类）林业和草原（款）事业机构（项）。</w:t>
      </w:r>
    </w:p>
    <w:p w14:paraId="1814AC9E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502.28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458.07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万元，完成年初预算的9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1.20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2024年人员经费减少。</w:t>
      </w:r>
    </w:p>
    <w:p w14:paraId="5ACC6DC0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10、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农林水支出（类）林业和草原（款）森林资源培育（项）。</w:t>
      </w:r>
    </w:p>
    <w:p w14:paraId="3FE52219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10.00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森林资源培育支出为2024年新增项目经费。</w:t>
      </w:r>
    </w:p>
    <w:p w14:paraId="6C36A1E3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11、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农林水支出（类）林业和草原（款）林业草原防灾减灾（项）。</w:t>
      </w:r>
    </w:p>
    <w:p w14:paraId="02C5975B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20.00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林业草原防灾减灾支出为2024年新增项目经费。</w:t>
      </w:r>
    </w:p>
    <w:p w14:paraId="14E23B69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12、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农林水支出（类）林业和草原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（款）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其他林业和草原支出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（项）。</w:t>
      </w:r>
    </w:p>
    <w:p w14:paraId="04DEF0AB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29.82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于年初预算数的主要原因是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其他林业和草原支出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为2024年新增项目经费。</w:t>
      </w:r>
    </w:p>
    <w:p w14:paraId="7899162F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13、农林水支出（类）其他农林水支出（款）其他农林水支出（项）。</w:t>
      </w:r>
    </w:p>
    <w:p w14:paraId="0C55A291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44.39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其他农林水支出为2024年新增项目经费。</w:t>
      </w:r>
    </w:p>
    <w:p w14:paraId="57908EE4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14、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交通运输支出（类）公路水路运输（款）公路养护（项）。</w:t>
      </w:r>
    </w:p>
    <w:p w14:paraId="4D5FA3DA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20.00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公路养护支出为2024年新增项目经费。</w:t>
      </w:r>
    </w:p>
    <w:p w14:paraId="21E9FC91">
      <w:pPr>
        <w:pStyle w:val="15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住房保障支出（类）住房改革支出（款）住房公积金（项）。</w:t>
      </w:r>
    </w:p>
    <w:p w14:paraId="6E64952D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35.34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29.36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83.08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%，决算数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于年初预算数的主要原因是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2024年存在退休人员。</w:t>
      </w:r>
    </w:p>
    <w:p w14:paraId="373E8BA2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 w14:paraId="293AEB61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一般公共预算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财政拨款基本支出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621.39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</w:t>
      </w:r>
    </w:p>
    <w:p w14:paraId="41402996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563.83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90.74</w:t>
      </w:r>
      <w:r>
        <w:rPr>
          <w:rFonts w:hint="eastAsia" w:ascii="仿宋_GB2312" w:hAnsi="仿宋_GB2312" w:eastAsia="仿宋_GB2312" w:cs="仿宋_GB2312"/>
          <w:sz w:val="32"/>
          <w:szCs w:val="32"/>
        </w:rPr>
        <w:t>%,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主要包括</w:t>
      </w:r>
      <w:r>
        <w:rPr>
          <w:rFonts w:hint="eastAsia" w:ascii="仿宋_GB2312" w:hAnsi="仿宋_GB2312" w:eastAsia="仿宋_GB2312" w:cs="仿宋_GB2312"/>
          <w:sz w:val="32"/>
          <w:szCs w:val="32"/>
        </w:rPr>
        <w:t>基本工资、津贴补贴、奖金、伙食补助费、绩效工资、机关事业单位基本养老保险缴费、职工基本医疗保险缴费、其他社会保障缴费、住房公积金、退休人员其他补贴、抚恤金、生活补助、医疗费补助、其他对个人和家庭的补助；</w:t>
      </w:r>
    </w:p>
    <w:p w14:paraId="48A9DFBB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9.26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%，主要包括办公费、印刷费、水费、电费、邮电费、差旅费、维修（护）费、公务接待费、专用材料费、劳务费、委托业务费、工会经费、公务用车运行维护费、其他交通费用、其他商品和服务支出。</w:t>
      </w:r>
    </w:p>
    <w:p w14:paraId="238B2762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 w14:paraId="7B96C244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2024年度政府性基金预算财政拨款收入0万元；年初结转和结余0万元；支出0万元，其中基本支出0万元，项目支出0万元；年末结转和结余0万元。</w:t>
      </w:r>
    </w:p>
    <w:p w14:paraId="28BDC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 w14:paraId="64D194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2024年度国有资本经营预算财政拨款收入0万元；年初结转和结余0万；支出0万元，其中：基本支出0万元，项目支出0万元；年末结转和结余0万元。</w:t>
      </w:r>
    </w:p>
    <w:p w14:paraId="5876C252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 w14:paraId="6298EF1D">
      <w:pPr>
        <w:pStyle w:val="15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（一）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eastAsia="zh-CN"/>
        </w:rPr>
        <w:t>“三公”</w:t>
      </w:r>
      <w:r>
        <w:rPr>
          <w:rFonts w:ascii="Times New Roman" w:hAnsi="Times New Roman" w:eastAsia="楷体_GB2312" w:cs="Times New Roman"/>
          <w:b/>
          <w:sz w:val="32"/>
          <w:szCs w:val="32"/>
        </w:rPr>
        <w:t>经费财政拨款支出决算总体情况说明</w:t>
      </w:r>
    </w:p>
    <w:p w14:paraId="3766C36F">
      <w:pPr>
        <w:pStyle w:val="15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2024年度“三公”经费财政拨款支出预算为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5.40</w:t>
      </w:r>
      <w:r>
        <w:rPr>
          <w:rFonts w:ascii="Times New Roman" w:hAnsi="Times New Roman" w:eastAsia="仿宋_GB2312" w:cs="Times New Roman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5.40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决算数等于预算数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，主要原因是我单位严格按预算执行决算；与上年一致，无增减变动，主要原因是按有关政策厉行节约，严控“三公经费”支出。</w:t>
      </w:r>
      <w:bookmarkStart w:id="0" w:name="_GoBack"/>
      <w:bookmarkEnd w:id="0"/>
    </w:p>
    <w:p w14:paraId="352D03A7">
      <w:pPr>
        <w:pStyle w:val="15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（二）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eastAsia="zh-CN"/>
        </w:rPr>
        <w:t>“三公”</w:t>
      </w:r>
      <w:r>
        <w:rPr>
          <w:rFonts w:ascii="Times New Roman" w:hAnsi="Times New Roman" w:eastAsia="楷体_GB2312" w:cs="Times New Roman"/>
          <w:b/>
          <w:sz w:val="32"/>
          <w:szCs w:val="32"/>
        </w:rPr>
        <w:t>经费财政拨款支出决算具体情况说明</w:t>
      </w:r>
    </w:p>
    <w:p w14:paraId="1CF083E8">
      <w:pPr>
        <w:pStyle w:val="15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b/>
          <w:bCs/>
          <w:i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因公出国（境）费支出预算为0万元，支出决算为0万元，决算数等于预算数，主要原因是我单位严格按预算执行决算；与上年一致，无增减变动，主要原因是未安排因公出国（境）活动。2024年度安排因公出国（境）团组0个，累计0人次。</w:t>
      </w:r>
    </w:p>
    <w:p w14:paraId="65978CAB">
      <w:pPr>
        <w:pStyle w:val="15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2.公务用车购置费及运行维护费支出预算为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2.56</w:t>
      </w:r>
      <w:r>
        <w:rPr>
          <w:rFonts w:ascii="Times New Roman" w:hAnsi="Times New Roman" w:eastAsia="仿宋_GB2312" w:cs="Times New Roman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2.56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%；与上年相比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相等</w:t>
      </w:r>
      <w:r>
        <w:rPr>
          <w:rFonts w:ascii="Times New Roman" w:hAnsi="Times New Roman" w:eastAsia="仿宋_GB2312" w:cs="Times New Roman"/>
          <w:sz w:val="32"/>
          <w:szCs w:val="32"/>
        </w:rPr>
        <w:t>。其中：</w:t>
      </w:r>
    </w:p>
    <w:p w14:paraId="58C1E565">
      <w:pPr>
        <w:pStyle w:val="15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公务用车购置费支出预算为0万元，支出决算为0万元，决算数等于预算数，主要原因是我单位严格按预算执行决算；与上年一致，无增减变动，主要原因是两年均未购置公务用车。本单位更新公务用车0辆。</w:t>
      </w:r>
    </w:p>
    <w:p w14:paraId="75A272CE">
      <w:pPr>
        <w:pStyle w:val="15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务用车运行维护费支出预算为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2.56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2.56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万元，主要是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车辆保险费、车辆油料费等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支出，完成预算的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%；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与上年一致，无增减变动，主要原因是我单位厉行节约；决算数等于预算数，主要原因是我单位严格按预算执行决算；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截止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2024年12月31日，我单位开支财政拨款的公务用车保有量为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辆。</w:t>
      </w:r>
    </w:p>
    <w:p w14:paraId="039328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3.公务接待费支出预算为2.84万元，支出决算为2.84万元，完成预算的100%；与上年一致，无增减变动，主要原因是按有关政策厉行节约，严控公务接待支出；决算数等于预算数，主要原因是严格执行中央八项规定；2024年度共接待来访团组31个、来宾195人次（精确到个位数），主要是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开展科研项目工作对接、调研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发生的接待支出。</w:t>
      </w:r>
    </w:p>
    <w:p w14:paraId="3D06ACE2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 w14:paraId="38BA3ACD">
      <w:pPr>
        <w:pStyle w:val="15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本级为事业单位，按照机关运行经费的口径，本年度机关运行经费为0。</w:t>
      </w:r>
    </w:p>
    <w:p w14:paraId="39684EF2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 w14:paraId="362F9A0F"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40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本单位无会议费的预算和支出决算数；本单位无培训费的预算和支出决算数；本单位无举办节庆、晚会、论坛、赛事等活动的预算和支出决算数。</w:t>
      </w:r>
    </w:p>
    <w:p w14:paraId="252D0BEE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 w14:paraId="4120C9CB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年度政府采购支出总额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174.96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万元，其中：政府采购货物支出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42.55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万元、政府采购工程支出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120.35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12.05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万元。授予中小企业合同金额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174.96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万元，占政府采购支出总额的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%，其中：授予小微企业合同金额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174.96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授予中小企业合同金额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%。货物采购授予中小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企业合同金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额占货物支出金额的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%，工程采购授予中小企业合同金额占工程支出金额的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%，服务采购授予中小企业合同金额占服务支出金额的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</w:t>
      </w:r>
    </w:p>
    <w:p w14:paraId="246A0DF6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 w14:paraId="0044E386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部门（单位）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共有车辆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辆，其他用车主要是单位基地生产性用车；单位价值100万元以上设备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台（套）。</w:t>
      </w:r>
    </w:p>
    <w:p w14:paraId="0A8224AC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highlight w:val="none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highlight w:val="none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绩效</w:t>
      </w:r>
      <w:r>
        <w:rPr>
          <w:rFonts w:hint="eastAsia" w:hAnsi="黑体" w:cs="黑体"/>
          <w:b w:val="0"/>
          <w:bCs/>
          <w:color w:val="auto"/>
          <w:sz w:val="32"/>
          <w:szCs w:val="32"/>
          <w:highlight w:val="none"/>
          <w:lang w:eastAsia="zh-CN"/>
        </w:rPr>
        <w:t>管理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情况的说明</w:t>
      </w:r>
    </w:p>
    <w:p w14:paraId="0EB60D67">
      <w:pPr>
        <w:overflowPunct w:val="0"/>
        <w:spacing w:line="600" w:lineRule="exact"/>
        <w:ind w:firstLine="640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（一）绩效评价工作开展情况</w:t>
      </w:r>
    </w:p>
    <w:p w14:paraId="4178CFBA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绩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效自评开展情况。</w:t>
      </w:r>
    </w:p>
    <w:p w14:paraId="15853A05">
      <w:pPr>
        <w:overflowPunct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组织对2024年度本部门（单位）整体支出开展绩效自评，涉及项目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789.08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167.69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21.25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%；政府性基金预算项目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万元，占政府性基金预算支出总额的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%；国有资本经营预算项目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万元，占国有资本经营预算支出总额的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社会保险基金预算项目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社会保险基金预算支出总额的0%。</w:t>
      </w:r>
    </w:p>
    <w:p w14:paraId="18923257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2024年，我单位积极履职，强化管理，较好地完成了年度工作目标。同时，我单位依据整体绩效目标所设定的绩效指标清晰、细化、可衡量，与部门年度的任务数或计划数相对应，与本年度部门预算资金相匹配。通过加强预算收支管理，不断建立健全内部管理制度，梳理内部管理流程，部门整体支出管理水平得到提升。</w:t>
      </w:r>
    </w:p>
    <w:p w14:paraId="3910E0BD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在2024年，围绕林业科研工作，取得了显著成绩，主要体现在以下几个方面：</w:t>
      </w:r>
    </w:p>
    <w:p w14:paraId="76BAA880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（一）科研成果与项目进展</w:t>
      </w:r>
    </w:p>
    <w:p w14:paraId="05B39D50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科研项目：全年完成省、市级科研项目10项，其中结题3项，申报7项，立项5项，立项率达到71%。</w:t>
      </w:r>
    </w:p>
    <w:p w14:paraId="0940D61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学术发表：发表省级论文1篇，投稿已接收3篇，其中1篇CSCD论文仍在投。</w:t>
      </w:r>
    </w:p>
    <w:p w14:paraId="3B24F08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重点科研项目：1、省林业科技创新项目：“洞庭湖乡土树种川三蕊柳种质资源收集及抗重金属镉优良种质筛选”项目完成了13份野生资源采集和约8000株的扦插扩繁。2、自然科学基金区域项目：启动了“生物炭强化山苍子耐钒行为的调控机制”项目，进行了现场调查与土壤样本采集。</w:t>
      </w:r>
    </w:p>
    <w:p w14:paraId="35CBF95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完成岳阳市科协学会服务能力提升计划科普项目的验收，且2个林木新品种通过审定。</w:t>
      </w:r>
    </w:p>
    <w:p w14:paraId="13029C0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野外工作：完成了36次野外地物光谱仪测量、5次水体光谱测量等相关工作，确保年度任务的全面完成。</w:t>
      </w:r>
    </w:p>
    <w:p w14:paraId="263D992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（二）科普与服务工作</w:t>
      </w:r>
    </w:p>
    <w:p w14:paraId="5675E99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科普活动：举办了9场林业科普进学堂、社区活动，累计受益500人次，覆盖林业碳汇、生物入侵、鸟类保护等主题。</w:t>
      </w:r>
    </w:p>
    <w:p w14:paraId="400A457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下乡服务：派遣5名科技特派员深入农村，开展42次科技下乡服务，培训200余名林农，助力乡村振兴。</w:t>
      </w:r>
    </w:p>
    <w:p w14:paraId="0A9DFB8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（三）基地建设与园区管理</w:t>
      </w:r>
    </w:p>
    <w:p w14:paraId="366E621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灾后恢复：积极开展雨雪冰冻灾害后的林木清理工作，累计清理1700余株受灾林木，减少了资源浪费，为生态恢复奠定基础。</w:t>
      </w:r>
    </w:p>
    <w:p w14:paraId="58B159F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园区建设：优化苗木布局，更新死树、病虫害树，提高景观质量。引进植物和提升基础设施，如道路养护和园区大门改建，提高园区整体安全与管理水平。</w:t>
      </w:r>
    </w:p>
    <w:p w14:paraId="3C8EA71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森林防火：加强园区内的森林防火工作，落实每日巡护，消除安全隐患，确保游客安全。</w:t>
      </w:r>
    </w:p>
    <w:p w14:paraId="72A32E4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（四）义务植树与社会服务</w:t>
      </w:r>
    </w:p>
    <w:p w14:paraId="43C2926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成功完成岳阳市2024年义务植树活动，在短时间内准备15亩林地，确保活动顺利进行。</w:t>
      </w:r>
    </w:p>
    <w:p w14:paraId="0C66A82E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综上，2024年在科研、科普、基地管理等方面取得了丰硕成果，为林业发展和生态保护贡献了重要力量。</w:t>
      </w:r>
    </w:p>
    <w:p w14:paraId="3947D6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部门评价开展情况。</w:t>
      </w:r>
    </w:p>
    <w:p w14:paraId="7C658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本单位为二级预算单位，部门评价开展情况可详见上级部门决算公开说明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47828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3.事前绩效评估开展情况。</w:t>
      </w:r>
    </w:p>
    <w:p w14:paraId="004D0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本单位为二级预算单位，事前绩效评估开展情况可详见上级部门决算公开说明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6FC8205B">
      <w:pPr>
        <w:overflowPunct w:val="0"/>
        <w:spacing w:line="600" w:lineRule="exact"/>
        <w:ind w:firstLine="640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（二）绩效评价结果</w:t>
      </w:r>
    </w:p>
    <w:p w14:paraId="1068B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绩效自评结果。</w:t>
      </w:r>
    </w:p>
    <w:p w14:paraId="3F323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2024年度本部门（单位）整体支出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907.76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789.08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86.93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96.7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</w:t>
      </w:r>
      <w:r>
        <w:rPr>
          <w:rFonts w:ascii="Times New Roman" w:hAnsi="Times New Roman" w:eastAsia="仿宋_GB2312" w:cs="Times New Roman"/>
          <w:sz w:val="32"/>
          <w:szCs w:val="32"/>
        </w:rPr>
        <w:t>”。绩效目标完成情况：一是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取得了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科研成果与项目进展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做了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科普与服务工作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三是进行了基地建设与园区管理；四是做好了义务植树与社会服务工作。</w:t>
      </w:r>
      <w:r>
        <w:rPr>
          <w:rFonts w:ascii="Times New Roman" w:hAnsi="Times New Roman" w:eastAsia="仿宋_GB2312" w:cs="Times New Roman"/>
          <w:sz w:val="32"/>
          <w:szCs w:val="32"/>
        </w:rPr>
        <w:t>发现的主要问题及原因：一是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预算编制与实际支出差异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单位在制定预算时按年度工作计划设定了目标，但实际支付过程中出现未预见的刚性支出，需要通过压缩其他支出来弥补，导致预算标准与实际支出存在差距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预算执行不严格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，在执行过程中，部分支出超过了原定预算限额，未能严格按照预算指标进行控制</w:t>
      </w:r>
      <w:r>
        <w:rPr>
          <w:rFonts w:ascii="Times New Roman" w:hAnsi="Times New Roman" w:eastAsia="仿宋_GB2312" w:cs="Times New Roman"/>
          <w:sz w:val="32"/>
          <w:szCs w:val="32"/>
        </w:rPr>
        <w:t>。下一步改进措施：一是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加强预算管理与执行：通过学习相关法律法规、完善支出标准并分析执行情况，提升部门在预算管理和资金使用上的精确度</w:t>
      </w:r>
      <w:r>
        <w:rPr>
          <w:rFonts w:ascii="Times New Roman" w:hAnsi="Times New Roman" w:eastAsia="仿宋_GB2312" w:cs="Times New Roman"/>
          <w:sz w:val="32"/>
          <w:szCs w:val="32"/>
        </w:rPr>
        <w:t>；二是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规范财务处理与信息披露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严格执行会计制度，确保财务数据准确透明，同时加强三公经费管控和审批管理，实现预算与决算有效衔接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19E72D8D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部门评价结果。</w:t>
      </w:r>
    </w:p>
    <w:p w14:paraId="1F555EDA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本单位为二级预算单位，部门评价结果可详见上级部门决算公开说明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E5CA71D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b/>
          <w:bCs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lang w:val="en-US" w:eastAsia="zh-CN"/>
        </w:rPr>
        <w:t>事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  <w:highlight w:val="none"/>
        </w:rPr>
        <w:t>前绩效评估结果。</w:t>
      </w:r>
    </w:p>
    <w:p w14:paraId="5DC4775D">
      <w:pPr>
        <w:overflowPunct w:val="0"/>
        <w:spacing w:line="600" w:lineRule="exact"/>
        <w:ind w:firstLine="640" w:firstLineChars="200"/>
        <w:rPr>
          <w:rFonts w:hint="eastAsia" w:ascii="Times New Roman" w:hAnsi="Times New Roman" w:eastAsia="仿宋_GB2312"/>
          <w:color w:val="FF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</w:rPr>
        <w:t>本单位为二级预算单位，事前绩效评估结果可详见上级部门决算公开说明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。</w:t>
      </w:r>
    </w:p>
    <w:p w14:paraId="2C89E516">
      <w:pPr>
        <w:numPr>
          <w:ilvl w:val="0"/>
          <w:numId w:val="6"/>
        </w:numPr>
        <w:autoSpaceDE w:val="0"/>
        <w:autoSpaceDN w:val="0"/>
        <w:adjustRightInd w:val="0"/>
        <w:ind w:firstLine="640" w:firstLineChars="200"/>
        <w:jc w:val="left"/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</w:rPr>
        <w:t>评价结果应用情况</w:t>
      </w:r>
    </w:p>
    <w:p w14:paraId="37390020">
      <w:pPr>
        <w:autoSpaceDE w:val="0"/>
        <w:autoSpaceDN w:val="0"/>
        <w:adjustRightInd w:val="0"/>
        <w:ind w:firstLine="640" w:firstLineChars="200"/>
        <w:jc w:val="left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根据2024年度绩效自评、部门评价及事前绩效评价结果，本部门2025年度预算安排将更加科学合理，支出结构将优化以突出重点项目，资金管理将强化精细化和透明化，同时持续完善制度建设，确保预算执行与绩效目标紧密衔接。</w:t>
      </w:r>
    </w:p>
    <w:p w14:paraId="5E8AD5A5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预算绩效管理开展情况、绩效目标和绩效评价报告等，已在市政府部门财政预决算公开平台上向社会公开，详见附件。</w:t>
      </w:r>
    </w:p>
    <w:p w14:paraId="62BEA247">
      <w:pPr>
        <w:pStyle w:val="2"/>
        <w:rPr>
          <w:rFonts w:hint="eastAsia"/>
          <w:lang w:val="en-US" w:eastAsia="zh-CN"/>
        </w:rPr>
      </w:pPr>
    </w:p>
    <w:p w14:paraId="47586AB8"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36"/>
          <w:szCs w:val="36"/>
          <w:lang w:val="en-US" w:eastAsia="zh-CN"/>
        </w:rPr>
      </w:pPr>
    </w:p>
    <w:p w14:paraId="147E06D0">
      <w:pPr>
        <w:pStyle w:val="15"/>
        <w:jc w:val="both"/>
        <w:rPr>
          <w:rFonts w:hint="eastAsia" w:ascii="方正小标宋_GBK" w:hAnsi="方正小标宋_GBK" w:eastAsia="方正小标宋_GBK" w:cs="方正小标宋_GBK"/>
          <w:sz w:val="24"/>
          <w:szCs w:val="24"/>
        </w:rPr>
      </w:pPr>
    </w:p>
    <w:p w14:paraId="3D83FDA1">
      <w:pPr>
        <w:pStyle w:val="1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FB6F211">
      <w:pPr>
        <w:pStyle w:val="1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A01B6B0">
      <w:pPr>
        <w:pStyle w:val="1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475C1000">
      <w:pPr>
        <w:pStyle w:val="1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5AAFA3FF">
      <w:pPr>
        <w:pStyle w:val="1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C7D2086">
      <w:pPr>
        <w:pStyle w:val="1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7B65A6E">
      <w:pPr>
        <w:pStyle w:val="1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2B30C1A">
      <w:pPr>
        <w:pStyle w:val="1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193A2C0">
      <w:pPr>
        <w:pStyle w:val="1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1CC67AB8">
      <w:pPr>
        <w:pStyle w:val="1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2C483B41">
      <w:pPr>
        <w:pStyle w:val="1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8CF3B93">
      <w:pPr>
        <w:pStyle w:val="1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2E43D4D">
      <w:pPr>
        <w:pStyle w:val="15"/>
        <w:jc w:val="both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</w:p>
    <w:p w14:paraId="6A5A782C">
      <w:pPr>
        <w:pStyle w:val="1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 w14:paraId="2DDD6447"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 w14:paraId="41992F86">
      <w:pPr>
        <w:pStyle w:val="15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 w14:paraId="571298D0">
      <w:pPr>
        <w:pStyle w:val="2"/>
      </w:pPr>
    </w:p>
    <w:p w14:paraId="5331F884">
      <w:pPr>
        <w:pStyle w:val="3"/>
      </w:pPr>
    </w:p>
    <w:p w14:paraId="2CCAD852"/>
    <w:p w14:paraId="440E89DF">
      <w:pPr>
        <w:pStyle w:val="2"/>
      </w:pPr>
    </w:p>
    <w:p w14:paraId="645B9B76">
      <w:pPr>
        <w:pStyle w:val="3"/>
      </w:pPr>
    </w:p>
    <w:p w14:paraId="539F25AC"/>
    <w:p w14:paraId="74D6EEE9">
      <w:pPr>
        <w:pStyle w:val="2"/>
      </w:pPr>
    </w:p>
    <w:p w14:paraId="261AFF96">
      <w:pPr>
        <w:pStyle w:val="3"/>
      </w:pPr>
    </w:p>
    <w:p w14:paraId="46C6ECE3">
      <w:pPr>
        <w:pStyle w:val="3"/>
      </w:pPr>
    </w:p>
    <w:p w14:paraId="06600D60">
      <w:pPr>
        <w:pStyle w:val="3"/>
      </w:pPr>
    </w:p>
    <w:p w14:paraId="191E9953">
      <w:pPr>
        <w:pStyle w:val="3"/>
      </w:pPr>
    </w:p>
    <w:p w14:paraId="6E875F86">
      <w:pPr>
        <w:pStyle w:val="3"/>
      </w:pPr>
    </w:p>
    <w:p w14:paraId="02838C87">
      <w:pPr>
        <w:pStyle w:val="3"/>
      </w:pPr>
    </w:p>
    <w:p w14:paraId="47AFAB8F">
      <w:pPr>
        <w:pStyle w:val="2"/>
      </w:pPr>
    </w:p>
    <w:p w14:paraId="479D6353">
      <w:pPr>
        <w:pStyle w:val="3"/>
      </w:pPr>
    </w:p>
    <w:p w14:paraId="648103ED"/>
    <w:p w14:paraId="3F1FDC29">
      <w:pPr>
        <w:pStyle w:val="2"/>
      </w:pPr>
    </w:p>
    <w:p w14:paraId="793F6BC2">
      <w:pPr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754BC716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575346AC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 w14:paraId="034A7A7B">
      <w:pPr>
        <w:ind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三、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财政拨款收入：指市级财政当年拨付的资金。</w:t>
      </w:r>
    </w:p>
    <w:p w14:paraId="1B5B3909">
      <w:pPr>
        <w:ind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四、其他收入：指除“财政拨款收入”以外的收入。</w:t>
      </w:r>
    </w:p>
    <w:p w14:paraId="57F639C4">
      <w:pPr>
        <w:ind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五、年初结转和结余：指以前年度尚未完成、结转到本年按有关规定继续使用的资金。</w:t>
      </w:r>
    </w:p>
    <w:p w14:paraId="50D9F087">
      <w:pPr>
        <w:ind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六、</w:t>
      </w:r>
      <w:r>
        <w:rPr>
          <w:rFonts w:hint="eastAsia" w:ascii="仿宋_GB2312" w:hAnsi="仿宋_GB2312" w:eastAsia="仿宋_GB2312" w:cs="仿宋_GB2312"/>
          <w:sz w:val="32"/>
          <w:szCs w:val="32"/>
        </w:rPr>
        <w:t>科学技术支出（类）其他科学技术支出（款）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：指科技创新专项资金。</w:t>
      </w:r>
    </w:p>
    <w:p w14:paraId="3F5218CE">
      <w:pPr>
        <w:ind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七、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社会保障和就业支出（类）行政事业单位养老支出（款）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：指单位职工基本养老保险缴费。</w:t>
      </w:r>
    </w:p>
    <w:p w14:paraId="2FE5B63B">
      <w:pPr>
        <w:ind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八、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社会保障和就业支出（类）残疾人事业（款）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：指单位残疾人保障金缴费。</w:t>
      </w:r>
    </w:p>
    <w:p w14:paraId="28615BC3">
      <w:pPr>
        <w:ind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九、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社会保障和就业支出（类）抚恤（款）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：指单位职工死亡一次性抚恤费及遗属费。</w:t>
      </w:r>
    </w:p>
    <w:p w14:paraId="771964A7">
      <w:pPr>
        <w:ind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十、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社会保障和就业支出（类）其他社会保障和就业支出（款）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：指指职工工伤保险支出。</w:t>
      </w:r>
    </w:p>
    <w:p w14:paraId="722E7D25">
      <w:pPr>
        <w:ind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十一、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卫生健康支出（类）行政事业单位医疗（款）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：指单位职工基本医疗保险缴费。</w:t>
      </w:r>
    </w:p>
    <w:p w14:paraId="69E6E714">
      <w:pPr>
        <w:ind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十二、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节能环保支出（类）自然生态保护（款）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：指2023年中央国家重点野生动植物保护补助资金；省级林业生态保护修复及发展资金；生态文明建设补助。</w:t>
      </w:r>
    </w:p>
    <w:p w14:paraId="7BBDD8BB">
      <w:pPr>
        <w:ind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十三、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农林水支出（类）林业和草原（款）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：指单位年初部门预算安排经费；林业科研专项经费；自然资源利用和保护专项资金；林业产业发展森林生态博览园运行维护经费；2024年省级林木种苗繁育资金；2024年中央林业改革发展资金；义务植树经费。</w:t>
      </w:r>
    </w:p>
    <w:p w14:paraId="665E1392">
      <w:pPr>
        <w:ind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农林水支出（类）其他农林水支出（款）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：指在职人员、退休人员考核奖；退休人员补贴；退休人员第13个月工资等。</w:t>
      </w:r>
    </w:p>
    <w:p w14:paraId="3FAEDA27">
      <w:pPr>
        <w:ind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十五、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交通运输支出（类）公路水路运输（款）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：指2024年林路养护资金。</w:t>
      </w:r>
    </w:p>
    <w:p w14:paraId="4D3370A7">
      <w:pPr>
        <w:pStyle w:val="2"/>
        <w:rPr>
          <w:rFonts w:hint="eastAsia"/>
          <w:lang w:val="en-US" w:eastAsia="zh-CN"/>
        </w:rPr>
      </w:pPr>
    </w:p>
    <w:p w14:paraId="402CEDB3">
      <w:pPr>
        <w:numPr>
          <w:ilvl w:val="0"/>
          <w:numId w:val="7"/>
        </w:numPr>
        <w:ind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住房保障支出（类）住房改革支出（款）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：指单位职工住房公积金缴费。</w:t>
      </w:r>
    </w:p>
    <w:p w14:paraId="3AE24A0E">
      <w:pPr>
        <w:ind w:firstLine="640" w:firstLineChars="200"/>
        <w:jc w:val="left"/>
        <w:rPr>
          <w:rFonts w:hint="eastAsia"/>
          <w:lang w:val="en-US" w:eastAsia="zh-CN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十七、</w:t>
      </w:r>
      <w:r>
        <w:rPr>
          <w:rFonts w:hint="eastAsia" w:ascii="仿宋_GB2312" w:hAnsi="仿宋_GB2312" w:eastAsia="仿宋_GB2312" w:cs="仿宋_GB2312"/>
          <w:sz w:val="32"/>
          <w:szCs w:val="32"/>
        </w:rPr>
        <w:t>科学技术支出（类）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基础研究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：指自然科学基金。</w:t>
      </w:r>
    </w:p>
    <w:p w14:paraId="221B77A1">
      <w:pPr>
        <w:pStyle w:val="2"/>
        <w:rPr>
          <w:rFonts w:hint="default"/>
          <w:lang w:val="en-US" w:eastAsia="zh-CN"/>
        </w:rPr>
      </w:pPr>
    </w:p>
    <w:p w14:paraId="38FC6C38">
      <w:pPr>
        <w:ind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十八、车辆保险费：指单位根据所投保车辆的种类、使用性质及需要投保的险种等，按照险别计算相应的数额</w:t>
      </w:r>
      <w:r>
        <w:rPr>
          <w:rFonts w:hint="default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。</w:t>
      </w:r>
    </w:p>
    <w:p w14:paraId="1F003F17">
      <w:pPr>
        <w:ind w:firstLine="640" w:firstLineChars="200"/>
        <w:jc w:val="left"/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十九、车辆油料费：指单位汽车行驶过程中需要消耗的汽油或柴油费用</w:t>
      </w:r>
      <w:r>
        <w:rPr>
          <w:rFonts w:hint="default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  <w:t>。</w:t>
      </w:r>
    </w:p>
    <w:p w14:paraId="4A662A4E">
      <w:pPr>
        <w:pStyle w:val="2"/>
        <w:rPr>
          <w:rFonts w:hint="eastAsia"/>
          <w:lang w:val="en-US" w:eastAsia="zh-CN"/>
        </w:rPr>
      </w:pPr>
    </w:p>
    <w:p w14:paraId="6F079D16">
      <w:pPr>
        <w:pStyle w:val="2"/>
        <w:rPr>
          <w:rFonts w:hint="eastAsia"/>
          <w:lang w:val="en-US" w:eastAsia="zh-CN"/>
        </w:rPr>
      </w:pPr>
    </w:p>
    <w:p w14:paraId="525D393D">
      <w:pPr>
        <w:ind w:firstLine="640" w:firstLineChars="200"/>
        <w:jc w:val="left"/>
        <w:rPr>
          <w:rFonts w:hint="default" w:ascii="Times New Roman" w:hAnsi="Times New Roman" w:eastAsia="仿宋_GB2312" w:cs="黑体"/>
          <w:color w:val="000000"/>
          <w:kern w:val="0"/>
          <w:sz w:val="32"/>
          <w:szCs w:val="32"/>
          <w:lang w:val="en-US" w:eastAsia="zh-CN" w:bidi="ar-SA"/>
        </w:rPr>
      </w:pPr>
    </w:p>
    <w:p w14:paraId="2AE81CE8">
      <w:pPr>
        <w:pStyle w:val="15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D47518A">
      <w:pPr>
        <w:pStyle w:val="3"/>
      </w:pPr>
    </w:p>
    <w:p w14:paraId="580CF8E4"/>
    <w:p w14:paraId="0C17744C">
      <w:pPr>
        <w:pStyle w:val="2"/>
      </w:pPr>
    </w:p>
    <w:p w14:paraId="496F732E">
      <w:pPr>
        <w:pStyle w:val="2"/>
      </w:pPr>
    </w:p>
    <w:p w14:paraId="7CFBCE3C">
      <w:pPr>
        <w:pStyle w:val="2"/>
      </w:pPr>
    </w:p>
    <w:p w14:paraId="5C3DE094">
      <w:pPr>
        <w:pStyle w:val="15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C1858E3">
      <w:pPr>
        <w:pStyle w:val="15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 w14:paraId="592BF6CA">
      <w:pPr>
        <w:pStyle w:val="15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490142D3">
      <w:pPr>
        <w:pStyle w:val="15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 w14:paraId="3243C04E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 w14:paraId="4EAC9354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年部门决算公开表格</w:t>
      </w:r>
    </w:p>
    <w:p w14:paraId="27E2EE8B"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highlight w:val="none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 w14:paraId="045AD96C"/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DECFD4"/>
    <w:multiLevelType w:val="singleLevel"/>
    <w:tmpl w:val="8EDECFD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4441F0E"/>
    <w:multiLevelType w:val="singleLevel"/>
    <w:tmpl w:val="F4441F0E"/>
    <w:lvl w:ilvl="0" w:tentative="0">
      <w:start w:val="1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C37E6D6"/>
    <w:multiLevelType w:val="singleLevel"/>
    <w:tmpl w:val="0C37E6D6"/>
    <w:lvl w:ilvl="0" w:tentative="0">
      <w:start w:val="6"/>
      <w:numFmt w:val="decimal"/>
      <w:suff w:val="nothing"/>
      <w:lvlText w:val="%1、"/>
      <w:lvlJc w:val="left"/>
    </w:lvl>
  </w:abstractNum>
  <w:abstractNum w:abstractNumId="3">
    <w:nsid w:val="341B0F71"/>
    <w:multiLevelType w:val="singleLevel"/>
    <w:tmpl w:val="341B0F71"/>
    <w:lvl w:ilvl="0" w:tentative="0">
      <w:start w:val="15"/>
      <w:numFmt w:val="decimal"/>
      <w:suff w:val="nothing"/>
      <w:lvlText w:val="%1、"/>
      <w:lvlJc w:val="left"/>
    </w:lvl>
  </w:abstractNum>
  <w:abstractNum w:abstractNumId="4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C2E3DEE"/>
    <w:multiLevelType w:val="singleLevel"/>
    <w:tmpl w:val="3C2E3DEE"/>
    <w:lvl w:ilvl="0" w:tentative="0">
      <w:start w:val="3"/>
      <w:numFmt w:val="decimal"/>
      <w:suff w:val="nothing"/>
      <w:lvlText w:val="%1、"/>
      <w:lvlJc w:val="left"/>
    </w:lvl>
  </w:abstractNum>
  <w:abstractNum w:abstractNumId="6">
    <w:nsid w:val="3FF30039"/>
    <w:multiLevelType w:val="singleLevel"/>
    <w:tmpl w:val="3FF3003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B4D8E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3862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4244"/>
    <w:rsid w:val="00E8683C"/>
    <w:rsid w:val="00EA2B72"/>
    <w:rsid w:val="00F74360"/>
    <w:rsid w:val="00FB462F"/>
    <w:rsid w:val="00FE16FA"/>
    <w:rsid w:val="00FE328A"/>
    <w:rsid w:val="00FE6269"/>
    <w:rsid w:val="00FF5CD6"/>
    <w:rsid w:val="01325A8F"/>
    <w:rsid w:val="01347A59"/>
    <w:rsid w:val="014F14BE"/>
    <w:rsid w:val="018207C5"/>
    <w:rsid w:val="02564BEC"/>
    <w:rsid w:val="02E63B60"/>
    <w:rsid w:val="031675D4"/>
    <w:rsid w:val="03B05964"/>
    <w:rsid w:val="04425FE9"/>
    <w:rsid w:val="059958AD"/>
    <w:rsid w:val="06C857E7"/>
    <w:rsid w:val="06E17D3B"/>
    <w:rsid w:val="07C84A57"/>
    <w:rsid w:val="07D17DB0"/>
    <w:rsid w:val="081128A2"/>
    <w:rsid w:val="0858402D"/>
    <w:rsid w:val="086230FE"/>
    <w:rsid w:val="08B63BCD"/>
    <w:rsid w:val="08C24A73"/>
    <w:rsid w:val="08EE4992"/>
    <w:rsid w:val="09312932"/>
    <w:rsid w:val="094654D0"/>
    <w:rsid w:val="09F55119"/>
    <w:rsid w:val="0A5371A2"/>
    <w:rsid w:val="0B507D0D"/>
    <w:rsid w:val="0B9D001E"/>
    <w:rsid w:val="0BC1013B"/>
    <w:rsid w:val="0BE65DF4"/>
    <w:rsid w:val="0D29243C"/>
    <w:rsid w:val="0EB2020F"/>
    <w:rsid w:val="0F0740B7"/>
    <w:rsid w:val="0F6159BE"/>
    <w:rsid w:val="0FD03043"/>
    <w:rsid w:val="0FED7751"/>
    <w:rsid w:val="103C51A4"/>
    <w:rsid w:val="1077526D"/>
    <w:rsid w:val="10B90E94"/>
    <w:rsid w:val="117479FE"/>
    <w:rsid w:val="11944E2C"/>
    <w:rsid w:val="119836EC"/>
    <w:rsid w:val="12583BA5"/>
    <w:rsid w:val="12EB3CF0"/>
    <w:rsid w:val="13675A6C"/>
    <w:rsid w:val="1380268A"/>
    <w:rsid w:val="13A04ADA"/>
    <w:rsid w:val="13BA5B9C"/>
    <w:rsid w:val="141E6EE4"/>
    <w:rsid w:val="15192D96"/>
    <w:rsid w:val="155B515D"/>
    <w:rsid w:val="15A061B0"/>
    <w:rsid w:val="15FA04B5"/>
    <w:rsid w:val="17A74689"/>
    <w:rsid w:val="17CF1E32"/>
    <w:rsid w:val="187D7B07"/>
    <w:rsid w:val="18AD3F21"/>
    <w:rsid w:val="18FF04F5"/>
    <w:rsid w:val="1A696C04"/>
    <w:rsid w:val="1A9118E5"/>
    <w:rsid w:val="1C4032FE"/>
    <w:rsid w:val="1C961894"/>
    <w:rsid w:val="1D3344C1"/>
    <w:rsid w:val="1D80797D"/>
    <w:rsid w:val="1D97DEFF"/>
    <w:rsid w:val="1DC6153A"/>
    <w:rsid w:val="1DFF72E5"/>
    <w:rsid w:val="1E821E95"/>
    <w:rsid w:val="1EBD29E4"/>
    <w:rsid w:val="1ECE4BF1"/>
    <w:rsid w:val="1EFC6F07"/>
    <w:rsid w:val="1F0527A6"/>
    <w:rsid w:val="1F0C74C8"/>
    <w:rsid w:val="20B3409F"/>
    <w:rsid w:val="212154AC"/>
    <w:rsid w:val="21224D81"/>
    <w:rsid w:val="214B2529"/>
    <w:rsid w:val="21E247CF"/>
    <w:rsid w:val="22AC03C2"/>
    <w:rsid w:val="2369138D"/>
    <w:rsid w:val="24C06D8A"/>
    <w:rsid w:val="25FD64CE"/>
    <w:rsid w:val="260D24A3"/>
    <w:rsid w:val="26686E14"/>
    <w:rsid w:val="2685203A"/>
    <w:rsid w:val="271909D4"/>
    <w:rsid w:val="272262C9"/>
    <w:rsid w:val="272421C4"/>
    <w:rsid w:val="27467C60"/>
    <w:rsid w:val="27673E35"/>
    <w:rsid w:val="28136355"/>
    <w:rsid w:val="282256BA"/>
    <w:rsid w:val="283B15FE"/>
    <w:rsid w:val="287A1946"/>
    <w:rsid w:val="28B00BFE"/>
    <w:rsid w:val="28E94A1E"/>
    <w:rsid w:val="294B5A99"/>
    <w:rsid w:val="2A922F77"/>
    <w:rsid w:val="2A97058D"/>
    <w:rsid w:val="2ABC5A31"/>
    <w:rsid w:val="2ACF1BB5"/>
    <w:rsid w:val="2B163BA8"/>
    <w:rsid w:val="2B4C1378"/>
    <w:rsid w:val="2B593A95"/>
    <w:rsid w:val="2B82329B"/>
    <w:rsid w:val="2C6B7F24"/>
    <w:rsid w:val="2D3465E1"/>
    <w:rsid w:val="2DA90D03"/>
    <w:rsid w:val="2DBC7AFB"/>
    <w:rsid w:val="2EAE4225"/>
    <w:rsid w:val="2F1E0F22"/>
    <w:rsid w:val="2F3C1703"/>
    <w:rsid w:val="2F950E14"/>
    <w:rsid w:val="2FDF85B8"/>
    <w:rsid w:val="2FFFEE04"/>
    <w:rsid w:val="307F3F9D"/>
    <w:rsid w:val="308415B4"/>
    <w:rsid w:val="30CB2E10"/>
    <w:rsid w:val="311346E6"/>
    <w:rsid w:val="316521F1"/>
    <w:rsid w:val="31771119"/>
    <w:rsid w:val="31C95635"/>
    <w:rsid w:val="320B6E9B"/>
    <w:rsid w:val="32B37F2E"/>
    <w:rsid w:val="32E64C4B"/>
    <w:rsid w:val="33704071"/>
    <w:rsid w:val="3460040C"/>
    <w:rsid w:val="34DF85B0"/>
    <w:rsid w:val="34FE36A0"/>
    <w:rsid w:val="351D5B33"/>
    <w:rsid w:val="356409D9"/>
    <w:rsid w:val="35831E3A"/>
    <w:rsid w:val="35BF6BEA"/>
    <w:rsid w:val="35C2521A"/>
    <w:rsid w:val="35C44201"/>
    <w:rsid w:val="36664A5D"/>
    <w:rsid w:val="369436F4"/>
    <w:rsid w:val="3710594F"/>
    <w:rsid w:val="374101FF"/>
    <w:rsid w:val="37B13334"/>
    <w:rsid w:val="37CB7AC8"/>
    <w:rsid w:val="38521F98"/>
    <w:rsid w:val="395A1104"/>
    <w:rsid w:val="39A919A7"/>
    <w:rsid w:val="3A35391F"/>
    <w:rsid w:val="3A896641"/>
    <w:rsid w:val="3A9935DC"/>
    <w:rsid w:val="3B8F36BC"/>
    <w:rsid w:val="3BDD7D9B"/>
    <w:rsid w:val="3C4936B2"/>
    <w:rsid w:val="3C8D17F0"/>
    <w:rsid w:val="3D3E2AEA"/>
    <w:rsid w:val="3D4F03CA"/>
    <w:rsid w:val="3D624A12"/>
    <w:rsid w:val="3D6469F5"/>
    <w:rsid w:val="3DAD7AE5"/>
    <w:rsid w:val="3DD1570D"/>
    <w:rsid w:val="3DD36586"/>
    <w:rsid w:val="3E083824"/>
    <w:rsid w:val="3E80405B"/>
    <w:rsid w:val="3EA61C0D"/>
    <w:rsid w:val="3EA66B99"/>
    <w:rsid w:val="3EDC080D"/>
    <w:rsid w:val="406D3E12"/>
    <w:rsid w:val="41160006"/>
    <w:rsid w:val="41F74BB1"/>
    <w:rsid w:val="41FF6CEC"/>
    <w:rsid w:val="42310E70"/>
    <w:rsid w:val="423315F2"/>
    <w:rsid w:val="423746D8"/>
    <w:rsid w:val="42EA799C"/>
    <w:rsid w:val="43EB5BA5"/>
    <w:rsid w:val="44646042"/>
    <w:rsid w:val="449556E6"/>
    <w:rsid w:val="45600192"/>
    <w:rsid w:val="458A60D0"/>
    <w:rsid w:val="45BB3834"/>
    <w:rsid w:val="45DF1A87"/>
    <w:rsid w:val="46DF0E9A"/>
    <w:rsid w:val="472707CD"/>
    <w:rsid w:val="491FF225"/>
    <w:rsid w:val="494476DB"/>
    <w:rsid w:val="49A5461D"/>
    <w:rsid w:val="4A1E7F2C"/>
    <w:rsid w:val="4A653DAC"/>
    <w:rsid w:val="4A7B712C"/>
    <w:rsid w:val="4B1D6435"/>
    <w:rsid w:val="4B661B8A"/>
    <w:rsid w:val="4B95246F"/>
    <w:rsid w:val="4C8229F4"/>
    <w:rsid w:val="4CA42EC6"/>
    <w:rsid w:val="4D1B69A4"/>
    <w:rsid w:val="4E0D453F"/>
    <w:rsid w:val="4EC310A1"/>
    <w:rsid w:val="4ECF0ED3"/>
    <w:rsid w:val="4EF456FF"/>
    <w:rsid w:val="4F2D5357"/>
    <w:rsid w:val="4F4E4E0F"/>
    <w:rsid w:val="4F7B2224"/>
    <w:rsid w:val="4FFD214C"/>
    <w:rsid w:val="50A67BB7"/>
    <w:rsid w:val="50B02E08"/>
    <w:rsid w:val="51CB3C04"/>
    <w:rsid w:val="51E802CF"/>
    <w:rsid w:val="5352765A"/>
    <w:rsid w:val="53746E0E"/>
    <w:rsid w:val="538232D9"/>
    <w:rsid w:val="54AA0D3A"/>
    <w:rsid w:val="54C875D7"/>
    <w:rsid w:val="54E83610"/>
    <w:rsid w:val="55450A62"/>
    <w:rsid w:val="55A41882"/>
    <w:rsid w:val="55B001E0"/>
    <w:rsid w:val="569D288E"/>
    <w:rsid w:val="56C87B9D"/>
    <w:rsid w:val="56EB5639"/>
    <w:rsid w:val="5777D4F5"/>
    <w:rsid w:val="5790495D"/>
    <w:rsid w:val="57DB10D0"/>
    <w:rsid w:val="57F22B6F"/>
    <w:rsid w:val="5976568E"/>
    <w:rsid w:val="59DD8326"/>
    <w:rsid w:val="59FE33BD"/>
    <w:rsid w:val="5A2450EA"/>
    <w:rsid w:val="5A9B1124"/>
    <w:rsid w:val="5BF22FC6"/>
    <w:rsid w:val="5C044ACF"/>
    <w:rsid w:val="5D4D4958"/>
    <w:rsid w:val="5DCF1811"/>
    <w:rsid w:val="5DEF592A"/>
    <w:rsid w:val="5E4C4C10"/>
    <w:rsid w:val="5EF07C91"/>
    <w:rsid w:val="5F230066"/>
    <w:rsid w:val="5FC6BB1E"/>
    <w:rsid w:val="5FF720F1"/>
    <w:rsid w:val="61641C99"/>
    <w:rsid w:val="622964C1"/>
    <w:rsid w:val="626E5D7B"/>
    <w:rsid w:val="628A51A6"/>
    <w:rsid w:val="634427F5"/>
    <w:rsid w:val="63D86F45"/>
    <w:rsid w:val="647D6ECA"/>
    <w:rsid w:val="64960891"/>
    <w:rsid w:val="649E018F"/>
    <w:rsid w:val="656A455C"/>
    <w:rsid w:val="657A6506"/>
    <w:rsid w:val="659F5F6D"/>
    <w:rsid w:val="65D04378"/>
    <w:rsid w:val="663522E8"/>
    <w:rsid w:val="66DD4F9F"/>
    <w:rsid w:val="66F1473C"/>
    <w:rsid w:val="67580AC9"/>
    <w:rsid w:val="67FF5C0B"/>
    <w:rsid w:val="68282249"/>
    <w:rsid w:val="683E1DD2"/>
    <w:rsid w:val="684150B9"/>
    <w:rsid w:val="689F6284"/>
    <w:rsid w:val="68AD274F"/>
    <w:rsid w:val="690F51B7"/>
    <w:rsid w:val="69B91B9E"/>
    <w:rsid w:val="6AE667C2"/>
    <w:rsid w:val="6BAA4A2F"/>
    <w:rsid w:val="6C305B70"/>
    <w:rsid w:val="6D215816"/>
    <w:rsid w:val="6D266DD9"/>
    <w:rsid w:val="6D9D6B86"/>
    <w:rsid w:val="6DC20A4A"/>
    <w:rsid w:val="6DDEC5C0"/>
    <w:rsid w:val="6E900B48"/>
    <w:rsid w:val="6EAE5472"/>
    <w:rsid w:val="6ED547AD"/>
    <w:rsid w:val="6EF03395"/>
    <w:rsid w:val="6EFC0924"/>
    <w:rsid w:val="6F5175A8"/>
    <w:rsid w:val="6F6124E5"/>
    <w:rsid w:val="6FB74722"/>
    <w:rsid w:val="6FEF8B7E"/>
    <w:rsid w:val="716A38D3"/>
    <w:rsid w:val="717F33DE"/>
    <w:rsid w:val="717FE77F"/>
    <w:rsid w:val="71A6591B"/>
    <w:rsid w:val="722F03E4"/>
    <w:rsid w:val="723839D1"/>
    <w:rsid w:val="737D59BA"/>
    <w:rsid w:val="737F32B1"/>
    <w:rsid w:val="73BD3FCA"/>
    <w:rsid w:val="7419513C"/>
    <w:rsid w:val="74A01D45"/>
    <w:rsid w:val="75552FA8"/>
    <w:rsid w:val="75F75951"/>
    <w:rsid w:val="765B7C8E"/>
    <w:rsid w:val="76766876"/>
    <w:rsid w:val="76904ABF"/>
    <w:rsid w:val="76BA2035"/>
    <w:rsid w:val="76C76FB6"/>
    <w:rsid w:val="76D01EA6"/>
    <w:rsid w:val="776BDA01"/>
    <w:rsid w:val="779F3BAA"/>
    <w:rsid w:val="77C37683"/>
    <w:rsid w:val="783E1615"/>
    <w:rsid w:val="79022643"/>
    <w:rsid w:val="79490272"/>
    <w:rsid w:val="79C93160"/>
    <w:rsid w:val="79E65AC0"/>
    <w:rsid w:val="79FF515B"/>
    <w:rsid w:val="7A210E54"/>
    <w:rsid w:val="7BDE7397"/>
    <w:rsid w:val="7C923CDE"/>
    <w:rsid w:val="7D6649DA"/>
    <w:rsid w:val="7D6E7A5A"/>
    <w:rsid w:val="7DFBFF20"/>
    <w:rsid w:val="7DFF53A3"/>
    <w:rsid w:val="7E096221"/>
    <w:rsid w:val="7E4D4360"/>
    <w:rsid w:val="7E9E1962"/>
    <w:rsid w:val="7E9F11B4"/>
    <w:rsid w:val="7EA45F4A"/>
    <w:rsid w:val="7F37EC1E"/>
    <w:rsid w:val="7F5C05D3"/>
    <w:rsid w:val="7F7C0DDA"/>
    <w:rsid w:val="7F7DCD9D"/>
    <w:rsid w:val="7F970A6F"/>
    <w:rsid w:val="7FC1FFF3"/>
    <w:rsid w:val="7FC69637"/>
    <w:rsid w:val="7FDF8620"/>
    <w:rsid w:val="7FFB242F"/>
    <w:rsid w:val="7FFDB408"/>
    <w:rsid w:val="7FFE4EEB"/>
    <w:rsid w:val="95FB2B98"/>
    <w:rsid w:val="9A639BC2"/>
    <w:rsid w:val="9FF7D786"/>
    <w:rsid w:val="ABBFB23D"/>
    <w:rsid w:val="B6BE5A03"/>
    <w:rsid w:val="B8C93228"/>
    <w:rsid w:val="C3B4DA5A"/>
    <w:rsid w:val="C4FF458C"/>
    <w:rsid w:val="C7BBD038"/>
    <w:rsid w:val="CBFF70E0"/>
    <w:rsid w:val="CFF50B82"/>
    <w:rsid w:val="CFFFAD89"/>
    <w:rsid w:val="DFFE359E"/>
    <w:rsid w:val="DFFE4FFD"/>
    <w:rsid w:val="DFFF5403"/>
    <w:rsid w:val="EBC3E00A"/>
    <w:rsid w:val="EDFBE100"/>
    <w:rsid w:val="EEABED75"/>
    <w:rsid w:val="EF7E8003"/>
    <w:rsid w:val="F56FDF51"/>
    <w:rsid w:val="F5F3EE78"/>
    <w:rsid w:val="F6B69F17"/>
    <w:rsid w:val="F6E5BB3A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94102"/>
    <w:rsid w:val="FFFF1C8B"/>
    <w:rsid w:val="FFFF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nhideWhenUsed="0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First Indent 2"/>
    <w:basedOn w:val="4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next w:val="5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annotation subject"/>
    <w:basedOn w:val="6"/>
    <w:next w:val="1"/>
    <w:semiHidden/>
    <w:qFormat/>
    <w:uiPriority w:val="99"/>
    <w:rPr>
      <w:bCs/>
    </w:rPr>
  </w:style>
  <w:style w:type="paragraph" w:styleId="6">
    <w:name w:val="annotation text"/>
    <w:basedOn w:val="1"/>
    <w:semiHidden/>
    <w:qFormat/>
    <w:uiPriority w:val="99"/>
    <w:pPr>
      <w:jc w:val="left"/>
    </w:pPr>
  </w:style>
  <w:style w:type="paragraph" w:styleId="7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Strong"/>
    <w:basedOn w:val="11"/>
    <w:qFormat/>
    <w:uiPriority w:val="22"/>
    <w:rPr>
      <w:b/>
    </w:rPr>
  </w:style>
  <w:style w:type="character" w:customStyle="1" w:styleId="13">
    <w:name w:val="页眉 Char"/>
    <w:basedOn w:val="11"/>
    <w:link w:val="9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8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Char"/>
    <w:basedOn w:val="11"/>
    <w:link w:val="7"/>
    <w:semiHidden/>
    <w:qFormat/>
    <w:uiPriority w:val="99"/>
    <w:rPr>
      <w:sz w:val="18"/>
      <w:szCs w:val="18"/>
    </w:rPr>
  </w:style>
  <w:style w:type="character" w:customStyle="1" w:styleId="18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">
    <w:name w:val="font2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0">
    <w:name w:val="font1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20</Pages>
  <Words>7340</Words>
  <Characters>7977</Characters>
  <Lines>63</Lines>
  <Paragraphs>18</Paragraphs>
  <TotalTime>0</TotalTime>
  <ScaleCrop>false</ScaleCrop>
  <LinksUpToDate>false</LinksUpToDate>
  <CharactersWithSpaces>7988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2020-07-10T18:32:00Z</dcterms:created>
  <dc:creator>李航 null</dc:creator>
  <cp:lastModifiedBy>v蕾v</cp:lastModifiedBy>
  <cp:lastPrinted>2024-08-11T02:20:00Z</cp:lastPrinted>
  <dcterms:modified xsi:type="dcterms:W3CDTF">2025-09-29T08:09:27Z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7214F2C5AD5249C2B73605C1492CCD0A_13</vt:lpwstr>
  </property>
  <property fmtid="{D5CDD505-2E9C-101B-9397-08002B2CF9AE}" pid="4" name="KSOTemplateDocerSaveRecord">
    <vt:lpwstr>eyJoZGlkIjoiYjQyOTdiNGUyMDkyYWYyODlkYmNlZmZmODI0OGExNjAiLCJ1c2VySWQiOiIzOTMxNDIxNTEifQ==</vt:lpwstr>
  </property>
</Properties>
</file>