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岳阳市市场监管综合行政</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执法支队部门</w:t>
      </w:r>
      <w:r>
        <w:rPr>
          <w:rFonts w:hint="eastAsia" w:ascii="方正小标宋_GBK" w:hAnsi="方正小标宋_GBK" w:eastAsia="方正小标宋_GBK" w:cs="方正小标宋_GBK"/>
          <w:sz w:val="84"/>
          <w:szCs w:val="84"/>
        </w:rPr>
        <w:t>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w:t>
      </w:r>
      <w:r>
        <w:rPr>
          <w:rFonts w:hint="eastAsia" w:ascii="黑体" w:hAnsi="黑体" w:eastAsia="黑体" w:cs="黑体"/>
          <w:b w:val="0"/>
          <w:bCs/>
          <w:sz w:val="28"/>
          <w:szCs w:val="28"/>
        </w:rPr>
        <w:t>阳市市场监管综合行政执法支队</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岳阳市市场监管综合行政</w:t>
      </w: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执法支队</w:t>
      </w: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w:t>
      </w:r>
      <w:r>
        <w:rPr>
          <w:rFonts w:hint="eastAsia" w:ascii="Times New Roman" w:hAnsi="Times New Roman" w:eastAsia="仿宋_GB2312"/>
          <w:sz w:val="32"/>
          <w:szCs w:val="32"/>
        </w:rPr>
        <w:t>履行法律、法规及规章赋予市场监管行政强制、行政处罚及与执法相关的行政检查等职能。</w:t>
      </w:r>
    </w:p>
    <w:p>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w:t>
      </w:r>
      <w:r>
        <w:rPr>
          <w:rFonts w:hint="eastAsia" w:ascii="Times New Roman" w:hAnsi="Times New Roman" w:eastAsia="仿宋_GB2312"/>
          <w:sz w:val="32"/>
          <w:szCs w:val="32"/>
        </w:rPr>
        <w:t>依法查处和纠正食品、药品、化妆品、保健食品、医疗器械、特种设备、工业产品、价格收费、商务粮食、商标专利、知识产权、市场计量、市场交易、网络商品交易、不正当竞争、直销、传销、合同、广告等相关领域违法行为。</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12"/>
        <w:ind w:firstLine="640" w:firstLineChars="200"/>
        <w:rPr>
          <w:rFonts w:hint="eastAsia" w:ascii="Times New Roman" w:hAnsi="Times New Roman" w:eastAsia="仿宋_GB2312"/>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sz w:val="32"/>
          <w:szCs w:val="32"/>
        </w:rPr>
        <w:t>岳阳市市场监管综合行政执法支队内设机构包括：综合科、财务科、</w:t>
      </w:r>
      <w:r>
        <w:rPr>
          <w:rFonts w:hint="eastAsia" w:ascii="Times New Roman" w:hAnsi="Times New Roman" w:eastAsia="仿宋_GB2312"/>
          <w:sz w:val="32"/>
          <w:szCs w:val="32"/>
          <w:lang w:eastAsia="zh-CN"/>
        </w:rPr>
        <w:t>法制科、信息技术和检测服务科、执法协调科</w:t>
      </w:r>
      <w:r>
        <w:rPr>
          <w:rFonts w:hint="eastAsia" w:ascii="Times New Roman" w:hAnsi="Times New Roman" w:eastAsia="仿宋_GB2312"/>
          <w:sz w:val="32"/>
          <w:szCs w:val="32"/>
        </w:rPr>
        <w:t>五个机构，</w:t>
      </w:r>
      <w:r>
        <w:rPr>
          <w:rFonts w:hint="eastAsia" w:ascii="Times New Roman" w:hAnsi="Times New Roman" w:eastAsia="仿宋_GB2312"/>
          <w:sz w:val="32"/>
          <w:szCs w:val="32"/>
          <w:lang w:eastAsia="zh-CN"/>
        </w:rPr>
        <w:t>市市场监管综合行政执法支队岳阳楼大队、市市场监管综合行政执法支队云溪大队、市市场监管综合行政执法支队君山大队、知识产权和价格执法大队、产品质量与特种设备执法大队、食品药品执法大队六</w:t>
      </w:r>
      <w:r>
        <w:rPr>
          <w:rFonts w:hint="eastAsia" w:ascii="Times New Roman" w:hAnsi="Times New Roman" w:eastAsia="仿宋_GB2312"/>
          <w:sz w:val="32"/>
          <w:szCs w:val="32"/>
        </w:rPr>
        <w:t>个大队。</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sz w:val="32"/>
          <w:szCs w:val="32"/>
        </w:rPr>
        <w:t>岳阳市市场监管综合行政执法支队202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年部门决算汇总公开单位构成包括：岳阳市市场监管综合行政执法支队本级</w:t>
      </w:r>
      <w:r>
        <w:rPr>
          <w:rFonts w:hint="eastAsia" w:ascii="Times New Roman" w:hAnsi="Times New Roman" w:eastAsia="仿宋_GB2312"/>
          <w:sz w:val="32"/>
          <w:szCs w:val="32"/>
          <w:lang w:eastAsia="zh-CN"/>
        </w:rPr>
        <w:t>，不包含下属单位和机构。本单位无独立核算的下属单位，</w:t>
      </w:r>
      <w:r>
        <w:rPr>
          <w:rFonts w:hint="eastAsia" w:ascii="Times New Roman" w:hAnsi="Times New Roman" w:eastAsia="仿宋_GB2312"/>
          <w:sz w:val="32"/>
          <w:szCs w:val="32"/>
          <w:lang w:val="en-US" w:eastAsia="zh-CN"/>
        </w:rPr>
        <w:t>2024年度部门决算汇总公开单位仅包括</w:t>
      </w:r>
      <w:r>
        <w:rPr>
          <w:rFonts w:hint="eastAsia" w:ascii="Times New Roman" w:hAnsi="Times New Roman" w:eastAsia="仿宋_GB2312"/>
          <w:sz w:val="32"/>
          <w:szCs w:val="32"/>
        </w:rPr>
        <w:t>岳阳市市场监管综合行政执法支队</w:t>
      </w:r>
      <w:r>
        <w:rPr>
          <w:rFonts w:hint="eastAsia" w:ascii="Times New Roman" w:hAnsi="Times New Roman" w:eastAsia="仿宋_GB2312"/>
          <w:sz w:val="32"/>
          <w:szCs w:val="32"/>
          <w:lang w:val="en-US" w:eastAsia="zh-CN"/>
        </w:rPr>
        <w:t>本级。</w:t>
      </w:r>
    </w:p>
    <w:p/>
    <w:p>
      <w:pPr>
        <w:pStyle w:val="2"/>
      </w:pPr>
    </w:p>
    <w:p>
      <w:pPr>
        <w:pStyle w:val="3"/>
      </w:pPr>
    </w:p>
    <w:p/>
    <w:p>
      <w:pPr>
        <w:pStyle w:val="2"/>
      </w:pPr>
    </w:p>
    <w:p>
      <w:pPr>
        <w:pStyle w:val="3"/>
      </w:pPr>
    </w:p>
    <w:p/>
    <w:p>
      <w:pPr>
        <w:pStyle w:val="2"/>
      </w:pPr>
    </w:p>
    <w:p>
      <w:pPr>
        <w:pStyle w:val="3"/>
      </w:pPr>
    </w:p>
    <w:p/>
    <w:p>
      <w:pPr>
        <w:pStyle w:val="2"/>
      </w:pPr>
    </w:p>
    <w:p>
      <w:pPr>
        <w:pStyle w:val="3"/>
      </w:pPr>
    </w:p>
    <w:p>
      <w:pPr>
        <w:pStyle w:val="12"/>
        <w:jc w:val="both"/>
        <w:rPr>
          <w:rFonts w:hint="eastAsia" w:ascii="方正小标宋_GBK" w:hAnsi="方正小标宋_GBK" w:eastAsia="方正小标宋_GBK" w:cs="方正小标宋_GBK"/>
          <w:sz w:val="84"/>
          <w:szCs w:val="84"/>
        </w:rPr>
      </w:pPr>
    </w:p>
    <w:p>
      <w:pPr>
        <w:pStyle w:val="12"/>
        <w:jc w:val="both"/>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2054.87</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93.18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4.34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w:t>
      </w:r>
      <w:r>
        <w:rPr>
          <w:rFonts w:hint="eastAsia" w:ascii="仿宋_GB2312" w:hAnsi="仿宋_GB2312" w:eastAsia="仿宋_GB2312" w:cs="仿宋_GB2312"/>
          <w:color w:val="auto"/>
          <w:kern w:val="2"/>
          <w:sz w:val="32"/>
          <w:szCs w:val="32"/>
          <w:highlight w:val="none"/>
          <w:lang w:val="en-US" w:eastAsia="zh-CN" w:bidi="ar-SA"/>
        </w:rPr>
        <w:t>2024年度一般公共预算财政拨款收入有所减少。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2054.87</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2043.31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99.44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11.56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0.56</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2054.87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1850.93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90.08</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203.94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9.92</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2043.31</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94.44</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4.42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eastAsia="zh-CN"/>
        </w:rPr>
        <w:t>主要是因为编制内实有人数减少</w:t>
      </w:r>
      <w:r>
        <w:rPr>
          <w:rFonts w:hint="eastAsia" w:ascii="仿宋_GB2312" w:hAnsi="仿宋_GB2312" w:eastAsia="仿宋_GB2312" w:cs="仿宋_GB2312"/>
          <w:sz w:val="32"/>
          <w:szCs w:val="32"/>
          <w:highlight w:val="none"/>
          <w:lang w:val="en-US"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2043.31</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99.44</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94.44</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4.42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highlight w:val="none"/>
          <w:lang w:eastAsia="zh-CN"/>
        </w:rPr>
        <w:t>主要是因为编制内实有人数减少。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2043.31</w:t>
      </w:r>
      <w:r>
        <w:rPr>
          <w:rFonts w:hint="eastAsia" w:ascii="仿宋_GB2312" w:hAnsi="仿宋_GB2312" w:eastAsia="仿宋_GB2312" w:cs="仿宋_GB2312"/>
          <w:sz w:val="32"/>
          <w:szCs w:val="32"/>
        </w:rPr>
        <w:t>万元，主要用于以下方面：一</w:t>
      </w:r>
      <w:r>
        <w:rPr>
          <w:rFonts w:hint="eastAsia" w:ascii="仿宋_GB2312" w:hAnsi="仿宋_GB2312" w:eastAsia="仿宋_GB2312" w:cs="仿宋_GB2312"/>
          <w:color w:val="auto"/>
          <w:kern w:val="2"/>
          <w:sz w:val="32"/>
          <w:szCs w:val="32"/>
          <w:lang w:val="en-US" w:eastAsia="zh-CN" w:bidi="ar-SA"/>
        </w:rPr>
        <w:t>般公共服务（类）支出1711.95万元，占83.78%；社会保障和就业（类）支出147.02万元，占7.20%；卫生健康（类）支出82.03万元，占4.01%；住房保障（类）支出102.31万元，占5.01%。</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1612.90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2043.31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126.69</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auto"/>
          <w:kern w:val="2"/>
          <w:sz w:val="32"/>
          <w:szCs w:val="32"/>
          <w:lang w:val="en-US" w:eastAsia="zh-CN" w:bidi="ar-SA"/>
        </w:rPr>
        <w:t>一般公共服务支出（类）市场监督管理事务（款）行政运行（项）</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1158.31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1162.89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100.40</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color w:val="auto"/>
          <w:kern w:val="2"/>
          <w:sz w:val="32"/>
          <w:szCs w:val="32"/>
          <w:highlight w:val="none"/>
          <w:lang w:val="en-US" w:eastAsia="zh-CN" w:bidi="ar-SA"/>
        </w:rPr>
        <w:t>财政统一追加预算。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rPr>
        <w:t>2、</w:t>
      </w:r>
      <w:r>
        <w:rPr>
          <w:rFonts w:hint="eastAsia" w:ascii="仿宋_GB2312" w:hAnsi="仿宋_GB2312" w:eastAsia="仿宋_GB2312" w:cs="仿宋_GB2312"/>
          <w:color w:val="auto"/>
          <w:kern w:val="2"/>
          <w:sz w:val="32"/>
          <w:szCs w:val="32"/>
          <w:lang w:val="en-US" w:eastAsia="zh-CN" w:bidi="ar-SA"/>
        </w:rPr>
        <w:t>一般公共服务支出（类）市场监督管理事务（款）一般行政管理事务（项）。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56.43</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249.74</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sz w:val="32"/>
          <w:szCs w:val="32"/>
          <w:highlight w:val="none"/>
          <w:lang w:val="en-US" w:eastAsia="zh-CN"/>
        </w:rPr>
        <w:t>442.57</w:t>
      </w:r>
      <w:r>
        <w:rPr>
          <w:rFonts w:hint="eastAsia" w:ascii="仿宋_GB2312" w:hAnsi="仿宋_GB2312" w:eastAsia="仿宋_GB2312" w:cs="仿宋_GB2312"/>
          <w:sz w:val="32"/>
          <w:szCs w:val="32"/>
          <w:highlight w:val="none"/>
        </w:rPr>
        <w:t>%，决算数大于年初预算数的主要原因是：</w:t>
      </w:r>
      <w:r>
        <w:rPr>
          <w:rFonts w:hint="eastAsia" w:ascii="仿宋_GB2312" w:hAnsi="仿宋_GB2312" w:eastAsia="仿宋_GB2312" w:cs="仿宋_GB2312"/>
          <w:color w:val="auto"/>
          <w:kern w:val="2"/>
          <w:sz w:val="32"/>
          <w:szCs w:val="32"/>
          <w:highlight w:val="none"/>
          <w:lang w:val="en-US" w:eastAsia="zh-CN" w:bidi="ar-SA"/>
        </w:rPr>
        <w:t>财政统一追加预算。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3、一般公共服务支出（类）市场监督管理事务（款）市场秩序执法（项）。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年初预算为0万元，支出决算为38.4万元，由于预算数为0，无法计算百分比，决算数大于年初预算数的主要原因是：财政追加执法办案经费。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4、一般公共服务支出（类）市场监督管理事务（款）药品事务（项）。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年初预算为0万元，支出决算为10.73万元，由于预算数为0，无法计算百分比，决算数大于年初预算数的主要原因是：财政追加执法办案经费。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rPr>
        <w:t>、一</w:t>
      </w:r>
      <w:r>
        <w:rPr>
          <w:rFonts w:hint="eastAsia" w:ascii="仿宋_GB2312" w:hAnsi="仿宋_GB2312" w:eastAsia="仿宋_GB2312" w:cs="仿宋_GB2312"/>
          <w:sz w:val="32"/>
          <w:szCs w:val="32"/>
          <w:highlight w:val="none"/>
        </w:rPr>
        <w:t>般公共服务支出（类）市场监督管理事务（款）事业运行（项）。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39.7</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38.52</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sz w:val="32"/>
          <w:szCs w:val="32"/>
          <w:highlight w:val="none"/>
          <w:lang w:val="en-US" w:eastAsia="zh-CN"/>
        </w:rPr>
        <w:t>97.03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小</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rPr>
        <w:t>年初预算数的主要原因是</w:t>
      </w:r>
      <w:r>
        <w:rPr>
          <w:rFonts w:hint="eastAsia" w:ascii="仿宋_GB2312" w:hAnsi="仿宋_GB2312" w:eastAsia="仿宋_GB2312" w:cs="仿宋_GB2312"/>
          <w:sz w:val="32"/>
          <w:szCs w:val="32"/>
          <w:highlight w:val="none"/>
          <w:lang w:eastAsia="zh-CN"/>
        </w:rPr>
        <w:t>：</w:t>
      </w:r>
      <w:r>
        <w:rPr>
          <w:rFonts w:hint="eastAsia" w:ascii="Times New Roman" w:hAnsi="Times New Roman" w:eastAsia="仿宋_GB2312"/>
          <w:sz w:val="32"/>
          <w:szCs w:val="32"/>
          <w:highlight w:val="none"/>
          <w:lang w:val="en-US" w:eastAsia="zh-CN"/>
        </w:rPr>
        <w:t>2023年度有事业人员退休。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、一般公共服务支出（类）市场监督管理事务（款）其他市场监督管理事务（项）。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w:t>
      </w:r>
      <w:r>
        <w:rPr>
          <w:rFonts w:hint="eastAsia" w:ascii="仿宋_GB2312" w:hAnsi="仿宋_GB2312" w:eastAsia="仿宋_GB2312" w:cs="仿宋_GB2312"/>
          <w:sz w:val="32"/>
          <w:szCs w:val="32"/>
          <w:highlight w:val="none"/>
        </w:rPr>
        <w:t>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211.67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由于预算数为</w:t>
      </w:r>
      <w:r>
        <w:rPr>
          <w:rFonts w:hint="eastAsia" w:ascii="仿宋_GB2312" w:hAnsi="仿宋_GB2312" w:eastAsia="仿宋_GB2312" w:cs="仿宋_GB2312"/>
          <w:sz w:val="32"/>
          <w:szCs w:val="32"/>
          <w:highlight w:val="none"/>
          <w:lang w:val="en-US" w:eastAsia="zh-CN"/>
        </w:rPr>
        <w:t>0，无法计算百分比，</w:t>
      </w:r>
      <w:r>
        <w:rPr>
          <w:rFonts w:hint="eastAsia" w:ascii="仿宋_GB2312" w:hAnsi="仿宋_GB2312" w:eastAsia="仿宋_GB2312" w:cs="仿宋_GB2312"/>
          <w:sz w:val="32"/>
          <w:szCs w:val="32"/>
          <w:highlight w:val="none"/>
        </w:rPr>
        <w:t>决算数大于年初预算数的主要原因是：</w:t>
      </w:r>
      <w:r>
        <w:rPr>
          <w:rFonts w:hint="eastAsia" w:ascii="仿宋_GB2312" w:hAnsi="仿宋_GB2312" w:eastAsia="仿宋_GB2312" w:cs="仿宋_GB2312"/>
          <w:color w:val="auto"/>
          <w:kern w:val="2"/>
          <w:sz w:val="32"/>
          <w:szCs w:val="32"/>
          <w:highlight w:val="none"/>
          <w:lang w:val="en-US" w:eastAsia="zh-CN" w:bidi="ar-SA"/>
        </w:rPr>
        <w:t>财政追加执法办案经费</w:t>
      </w:r>
      <w:r>
        <w:rPr>
          <w:rFonts w:hint="eastAsia" w:ascii="Times New Roman" w:hAnsi="Times New Roman" w:eastAsia="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7</w:t>
      </w:r>
      <w:r>
        <w:rPr>
          <w:rFonts w:hint="eastAsia" w:ascii="Times New Roman" w:hAnsi="Times New Roman" w:eastAsia="仿宋_GB2312"/>
          <w:color w:val="auto"/>
          <w:sz w:val="32"/>
          <w:szCs w:val="32"/>
          <w:highlight w:val="none"/>
        </w:rPr>
        <w:t>、社会保障和就业支出（类）行政事业单位养老支出（款）机关事业单位基本养老保险缴费支出（项）。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Times New Roman" w:hAnsi="Times New Roman" w:eastAsia="仿宋_GB2312"/>
          <w:color w:val="auto"/>
          <w:sz w:val="32"/>
          <w:szCs w:val="32"/>
          <w:highlight w:val="none"/>
        </w:rPr>
        <w:t>年初预</w:t>
      </w:r>
      <w:r>
        <w:rPr>
          <w:rFonts w:hint="eastAsia" w:ascii="仿宋_GB2312" w:hAnsi="仿宋_GB2312" w:eastAsia="仿宋_GB2312" w:cs="仿宋_GB2312"/>
          <w:color w:val="auto"/>
          <w:sz w:val="32"/>
          <w:szCs w:val="32"/>
          <w:highlight w:val="none"/>
        </w:rPr>
        <w:t>算为</w:t>
      </w:r>
      <w:r>
        <w:rPr>
          <w:rFonts w:hint="eastAsia" w:ascii="仿宋_GB2312" w:hAnsi="仿宋_GB2312" w:eastAsia="仿宋_GB2312" w:cs="仿宋_GB2312"/>
          <w:color w:val="auto"/>
          <w:sz w:val="32"/>
          <w:szCs w:val="32"/>
          <w:highlight w:val="none"/>
          <w:lang w:val="en-US" w:eastAsia="zh-CN"/>
        </w:rPr>
        <w:t>142.09</w:t>
      </w:r>
      <w:r>
        <w:rPr>
          <w:rFonts w:hint="eastAsia" w:ascii="仿宋_GB2312" w:hAnsi="仿宋_GB2312" w:eastAsia="仿宋_GB2312" w:cs="仿宋_GB2312"/>
          <w:color w:val="auto"/>
          <w:sz w:val="32"/>
          <w:szCs w:val="32"/>
          <w:highlight w:val="none"/>
        </w:rPr>
        <w:t>万元，支出决算为</w:t>
      </w:r>
      <w:r>
        <w:rPr>
          <w:rFonts w:hint="eastAsia" w:ascii="仿宋_GB2312" w:hAnsi="仿宋_GB2312" w:eastAsia="仿宋_GB2312" w:cs="仿宋_GB2312"/>
          <w:color w:val="auto"/>
          <w:sz w:val="32"/>
          <w:szCs w:val="32"/>
          <w:highlight w:val="none"/>
          <w:lang w:val="en-US" w:eastAsia="zh-CN"/>
        </w:rPr>
        <w:t>136.6</w:t>
      </w:r>
      <w:r>
        <w:rPr>
          <w:rFonts w:hint="eastAsia" w:ascii="仿宋_GB2312" w:hAnsi="仿宋_GB2312" w:eastAsia="仿宋_GB2312" w:cs="仿宋_GB2312"/>
          <w:color w:val="auto"/>
          <w:sz w:val="32"/>
          <w:szCs w:val="32"/>
          <w:highlight w:val="none"/>
        </w:rPr>
        <w:t>万元，完成年初预算的</w:t>
      </w:r>
      <w:r>
        <w:rPr>
          <w:rFonts w:hint="eastAsia" w:ascii="仿宋_GB2312" w:hAnsi="仿宋_GB2312" w:eastAsia="仿宋_GB2312" w:cs="仿宋_GB2312"/>
          <w:color w:val="auto"/>
          <w:sz w:val="32"/>
          <w:szCs w:val="32"/>
          <w:highlight w:val="none"/>
          <w:lang w:val="en-US" w:eastAsia="zh-CN"/>
        </w:rPr>
        <w:t>96.14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决算数</w:t>
      </w:r>
      <w:r>
        <w:rPr>
          <w:rFonts w:hint="eastAsia" w:ascii="仿宋_GB2312" w:hAnsi="仿宋_GB2312" w:eastAsia="仿宋_GB2312" w:cs="仿宋_GB2312"/>
          <w:color w:val="auto"/>
          <w:sz w:val="32"/>
          <w:szCs w:val="32"/>
          <w:highlight w:val="none"/>
          <w:lang w:eastAsia="zh-CN"/>
        </w:rPr>
        <w:t>小于</w:t>
      </w:r>
      <w:r>
        <w:rPr>
          <w:rFonts w:hint="eastAsia" w:ascii="仿宋_GB2312" w:hAnsi="仿宋_GB2312" w:eastAsia="仿宋_GB2312" w:cs="仿宋_GB2312"/>
          <w:color w:val="auto"/>
          <w:sz w:val="32"/>
          <w:szCs w:val="32"/>
          <w:highlight w:val="none"/>
        </w:rPr>
        <w:t>年初预算数的主要原因是</w:t>
      </w:r>
      <w:r>
        <w:rPr>
          <w:rFonts w:hint="eastAsia" w:ascii="仿宋_GB2312" w:hAnsi="仿宋_GB2312" w:eastAsia="仿宋_GB2312" w:cs="仿宋_GB2312"/>
          <w:color w:val="auto"/>
          <w:sz w:val="32"/>
          <w:szCs w:val="32"/>
          <w:highlight w:val="none"/>
          <w:lang w:eastAsia="zh-CN"/>
        </w:rPr>
        <w:t>：</w:t>
      </w:r>
      <w:r>
        <w:rPr>
          <w:rFonts w:hint="eastAsia" w:ascii="Times New Roman" w:hAnsi="Times New Roman" w:eastAsia="仿宋_GB2312"/>
          <w:sz w:val="32"/>
          <w:szCs w:val="32"/>
          <w:highlight w:val="none"/>
          <w:lang w:val="en-US" w:eastAsia="zh-CN"/>
        </w:rPr>
        <w:t>2023年度有人员退休</w:t>
      </w:r>
      <w:r>
        <w:rPr>
          <w:rFonts w:hint="eastAsia" w:ascii="仿宋_GB2312" w:hAnsi="仿宋_GB2312" w:eastAsia="仿宋_GB2312" w:cs="仿宋_GB2312"/>
          <w:color w:val="auto"/>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color w:val="auto"/>
          <w:sz w:val="32"/>
          <w:szCs w:val="32"/>
          <w:highlight w:val="none"/>
          <w:lang w:val="en-US" w:eastAsia="zh-CN"/>
        </w:rPr>
        <w:t>8</w:t>
      </w:r>
      <w:r>
        <w:rPr>
          <w:rFonts w:hint="eastAsia" w:ascii="Times New Roman" w:hAnsi="Times New Roman" w:eastAsia="仿宋_GB2312"/>
          <w:color w:val="auto"/>
          <w:sz w:val="32"/>
          <w:szCs w:val="32"/>
          <w:highlight w:val="none"/>
        </w:rPr>
        <w:t>、</w:t>
      </w:r>
      <w:r>
        <w:rPr>
          <w:rFonts w:hint="eastAsia" w:ascii="Times New Roman" w:hAnsi="Times New Roman" w:eastAsia="仿宋_GB2312"/>
          <w:sz w:val="32"/>
          <w:szCs w:val="32"/>
          <w:highlight w:val="none"/>
        </w:rPr>
        <w:t>社会保障和就业支出（类）残疾人事业（款）其他残疾人事业支出（项）。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w:t>
      </w:r>
      <w:r>
        <w:rPr>
          <w:rFonts w:hint="eastAsia" w:ascii="仿宋_GB2312" w:hAnsi="仿宋_GB2312" w:eastAsia="仿宋_GB2312" w:cs="仿宋_GB2312"/>
          <w:color w:val="auto"/>
          <w:sz w:val="32"/>
          <w:szCs w:val="32"/>
          <w:highlight w:val="none"/>
        </w:rPr>
        <w:t>算</w:t>
      </w:r>
      <w:r>
        <w:rPr>
          <w:rFonts w:hint="eastAsia" w:ascii="仿宋_GB2312" w:hAnsi="仿宋_GB2312" w:eastAsia="仿宋_GB2312" w:cs="仿宋_GB2312"/>
          <w:color w:val="auto"/>
          <w:sz w:val="32"/>
          <w:szCs w:val="32"/>
          <w:highlight w:val="none"/>
          <w:lang w:val="en-US" w:eastAsia="zh-CN"/>
        </w:rPr>
        <w:t>10.42</w:t>
      </w:r>
      <w:r>
        <w:rPr>
          <w:rFonts w:hint="eastAsia" w:ascii="仿宋_GB2312" w:hAnsi="仿宋_GB2312" w:eastAsia="仿宋_GB2312" w:cs="仿宋_GB2312"/>
          <w:color w:val="auto"/>
          <w:sz w:val="32"/>
          <w:szCs w:val="32"/>
          <w:highlight w:val="none"/>
        </w:rPr>
        <w:t>万元，支出决算为</w:t>
      </w:r>
      <w:r>
        <w:rPr>
          <w:rFonts w:hint="eastAsia" w:ascii="仿宋_GB2312" w:hAnsi="仿宋_GB2312" w:eastAsia="仿宋_GB2312" w:cs="仿宋_GB2312"/>
          <w:color w:val="auto"/>
          <w:sz w:val="32"/>
          <w:szCs w:val="32"/>
          <w:highlight w:val="none"/>
          <w:lang w:val="en-US" w:eastAsia="zh-CN"/>
        </w:rPr>
        <w:t>10.42</w:t>
      </w:r>
      <w:r>
        <w:rPr>
          <w:rFonts w:hint="eastAsia" w:ascii="仿宋_GB2312" w:hAnsi="仿宋_GB2312" w:eastAsia="仿宋_GB2312" w:cs="仿宋_GB2312"/>
          <w:color w:val="auto"/>
          <w:sz w:val="32"/>
          <w:szCs w:val="32"/>
          <w:highlight w:val="none"/>
        </w:rPr>
        <w:t>万元，完成年初预算的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决算数</w:t>
      </w:r>
      <w:r>
        <w:rPr>
          <w:rFonts w:hint="eastAsia" w:ascii="仿宋_GB2312" w:hAnsi="仿宋_GB2312" w:eastAsia="仿宋_GB2312" w:cs="仿宋_GB2312"/>
          <w:color w:val="auto"/>
          <w:sz w:val="32"/>
          <w:szCs w:val="32"/>
          <w:highlight w:val="none"/>
          <w:lang w:eastAsia="zh-CN"/>
        </w:rPr>
        <w:t>等于</w:t>
      </w:r>
      <w:r>
        <w:rPr>
          <w:rFonts w:hint="eastAsia" w:ascii="仿宋_GB2312" w:hAnsi="仿宋_GB2312" w:eastAsia="仿宋_GB2312" w:cs="仿宋_GB2312"/>
          <w:color w:val="auto"/>
          <w:sz w:val="32"/>
          <w:szCs w:val="32"/>
          <w:highlight w:val="none"/>
        </w:rPr>
        <w:t>年初预算数的主要原因是</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color w:val="auto"/>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9</w:t>
      </w:r>
      <w:r>
        <w:rPr>
          <w:rFonts w:hint="eastAsia" w:ascii="Times New Roman" w:hAnsi="Times New Roman" w:eastAsia="仿宋_GB2312"/>
          <w:sz w:val="32"/>
          <w:szCs w:val="32"/>
          <w:highlight w:val="none"/>
        </w:rPr>
        <w:t>、卫生健康支出（类）行政事业单位医疗（款） 行政单位医疗（项）。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w:t>
      </w:r>
      <w:r>
        <w:rPr>
          <w:rFonts w:hint="eastAsia" w:ascii="仿宋_GB2312" w:hAnsi="仿宋_GB2312" w:eastAsia="仿宋_GB2312" w:cs="仿宋_GB2312"/>
          <w:sz w:val="32"/>
          <w:szCs w:val="32"/>
          <w:highlight w:val="none"/>
        </w:rPr>
        <w:t>为</w:t>
      </w:r>
      <w:r>
        <w:rPr>
          <w:rFonts w:hint="eastAsia" w:ascii="仿宋_GB2312" w:hAnsi="仿宋_GB2312" w:eastAsia="仿宋_GB2312" w:cs="仿宋_GB2312"/>
          <w:sz w:val="32"/>
          <w:szCs w:val="32"/>
          <w:highlight w:val="none"/>
          <w:lang w:val="en-US" w:eastAsia="zh-CN"/>
        </w:rPr>
        <w:t>82.08</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82.03</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sz w:val="32"/>
          <w:szCs w:val="32"/>
          <w:highlight w:val="none"/>
          <w:lang w:val="en-US" w:eastAsia="zh-CN"/>
        </w:rPr>
        <w:t>99.94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eastAsia="zh-CN"/>
        </w:rPr>
        <w:t>小于</w:t>
      </w:r>
      <w:r>
        <w:rPr>
          <w:rFonts w:hint="eastAsia" w:ascii="仿宋_GB2312" w:hAnsi="仿宋_GB2312" w:eastAsia="仿宋_GB2312" w:cs="仿宋_GB2312"/>
          <w:sz w:val="32"/>
          <w:szCs w:val="32"/>
          <w:highlight w:val="none"/>
        </w:rPr>
        <w:t>年初预算数的主要原因是</w:t>
      </w:r>
      <w:r>
        <w:rPr>
          <w:rFonts w:hint="eastAsia" w:ascii="仿宋_GB2312" w:hAnsi="仿宋_GB2312" w:eastAsia="仿宋_GB2312" w:cs="仿宋_GB2312"/>
          <w:sz w:val="32"/>
          <w:szCs w:val="32"/>
          <w:highlight w:val="none"/>
          <w:lang w:eastAsia="zh-CN"/>
        </w:rPr>
        <w:t>：</w:t>
      </w:r>
      <w:r>
        <w:rPr>
          <w:rFonts w:hint="eastAsia" w:ascii="Times New Roman" w:hAnsi="Times New Roman" w:eastAsia="仿宋_GB2312"/>
          <w:sz w:val="32"/>
          <w:szCs w:val="32"/>
          <w:highlight w:val="none"/>
          <w:lang w:val="en-US" w:eastAsia="zh-CN"/>
        </w:rPr>
        <w:t>2023年度有人员退休</w:t>
      </w:r>
      <w:r>
        <w:rPr>
          <w:rFonts w:hint="eastAsia" w:ascii="Times New Roman" w:hAnsi="Times New Roman" w:eastAsia="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10、</w:t>
      </w:r>
      <w:r>
        <w:rPr>
          <w:rFonts w:hint="eastAsia" w:ascii="Times New Roman" w:hAnsi="Times New Roman" w:eastAsia="仿宋_GB2312"/>
          <w:sz w:val="32"/>
          <w:szCs w:val="32"/>
          <w:highlight w:val="none"/>
          <w:lang w:eastAsia="zh-CN"/>
        </w:rPr>
        <w:t>住房保障支出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eastAsia="zh-CN"/>
        </w:rPr>
        <w:t>住房改革支出</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eastAsia="zh-CN"/>
        </w:rPr>
        <w:t>住房公积金</w:t>
      </w:r>
      <w:r>
        <w:rPr>
          <w:rFonts w:hint="eastAsia" w:ascii="Times New Roman" w:hAnsi="Times New Roman" w:eastAsia="仿宋_GB2312"/>
          <w:sz w:val="32"/>
          <w:szCs w:val="32"/>
          <w:highlight w:val="none"/>
        </w:rPr>
        <w:t>（项）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yellow"/>
          <w:lang w:val="en-US" w:eastAsia="zh-CN" w:bidi="ar-SA"/>
        </w:rPr>
      </w:pPr>
      <w:r>
        <w:rPr>
          <w:rFonts w:hint="eastAsia" w:ascii="Times New Roman" w:hAnsi="Times New Roman" w:eastAsia="仿宋_GB2312"/>
          <w:sz w:val="32"/>
          <w:szCs w:val="32"/>
          <w:highlight w:val="none"/>
        </w:rPr>
        <w:t>年初预算</w:t>
      </w:r>
      <w:r>
        <w:rPr>
          <w:rFonts w:hint="eastAsia" w:ascii="仿宋_GB2312" w:hAnsi="仿宋_GB2312" w:eastAsia="仿宋_GB2312" w:cs="仿宋_GB2312"/>
          <w:sz w:val="32"/>
          <w:szCs w:val="32"/>
          <w:highlight w:val="none"/>
        </w:rPr>
        <w:t>为</w:t>
      </w:r>
      <w:r>
        <w:rPr>
          <w:rFonts w:hint="eastAsia" w:ascii="仿宋_GB2312" w:hAnsi="仿宋_GB2312" w:eastAsia="仿宋_GB2312" w:cs="仿宋_GB2312"/>
          <w:sz w:val="32"/>
          <w:szCs w:val="32"/>
          <w:highlight w:val="none"/>
          <w:lang w:val="en-US" w:eastAsia="zh-CN"/>
        </w:rPr>
        <w:t>102.31</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102.31</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eastAsia="zh-CN"/>
        </w:rPr>
        <w:t>等于</w:t>
      </w:r>
      <w:r>
        <w:rPr>
          <w:rFonts w:hint="eastAsia" w:ascii="仿宋_GB2312" w:hAnsi="仿宋_GB2312" w:eastAsia="仿宋_GB2312" w:cs="仿宋_GB2312"/>
          <w:sz w:val="32"/>
          <w:szCs w:val="32"/>
          <w:highlight w:val="none"/>
        </w:rPr>
        <w:t>年初预算数的主要原因是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1839.38</w:t>
      </w:r>
      <w:r>
        <w:rPr>
          <w:rFonts w:hint="eastAsia" w:ascii="仿宋_GB2312" w:hAnsi="仿宋_GB2312" w:eastAsia="仿宋_GB2312" w:cs="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1530.04</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83.18</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主要包括基本工资、津贴补贴、</w:t>
      </w:r>
      <w:r>
        <w:rPr>
          <w:rFonts w:hint="eastAsia" w:ascii="Times New Roman" w:hAnsi="Times New Roman" w:eastAsia="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309.34</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16.82</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仿宋_GB2312" w:hAnsi="仿宋_GB2312" w:eastAsia="仿宋_GB2312" w:cs="仿宋_GB2312"/>
          <w:sz w:val="32"/>
          <w:szCs w:val="32"/>
          <w:lang w:val="en-US" w:eastAsia="zh-CN"/>
        </w:rPr>
        <w:t>2024年度</w:t>
      </w:r>
      <w:r>
        <w:rPr>
          <w:rFonts w:hint="eastAsia" w:ascii="仿宋_GB2312" w:hAnsi="仿宋_GB2312" w:eastAsia="仿宋_GB2312" w:cs="仿宋_GB2312"/>
          <w:sz w:val="32"/>
          <w:szCs w:val="32"/>
        </w:rPr>
        <w:t>本单位无政府性基金收支。202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2024年度本单位无国有资本经营预算财政拨款支出。2024年度国有资本经营预算财政拨款收入0万元；年初结转和结余0万；支出0万元，其中基本支出0万元，项目支出0万元；年末结转和结余0万元。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pPr>
        <w:pStyle w:val="12"/>
        <w:overflowPunct w:val="0"/>
        <w:autoSpaceDE/>
        <w:autoSpaceDN/>
        <w:spacing w:line="600" w:lineRule="exact"/>
        <w:ind w:firstLine="640" w:firstLineChars="200"/>
        <w:jc w:val="both"/>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2024年度“三公”经费财政拨款支出预算为</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82.61</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60.42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决算数小于预算数的主要原因是我单位按有关政策厉行节约，严控控制“三公”经费支出。决算数小于上年数的主要原因是我单位按有关政策厉行节约，严控控制“三公”经费支出。</w:t>
      </w:r>
    </w:p>
    <w:p>
      <w:pPr>
        <w:pStyle w:val="12"/>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pPr>
        <w:pStyle w:val="12"/>
        <w:overflowPunct w:val="0"/>
        <w:autoSpaceDE/>
        <w:autoSpaceDN/>
        <w:spacing w:line="600"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1.因公出国（境）费支出预算为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由于决算数为0，无法计算完成百分比。决算数等于预算数，主要原因是我单位严格按预算执行决算；与上年一致，无增减变动，主要原因是未安排因公出国（境）活动。2024年度安排因公出国（境）团组0个，累计0人次。</w:t>
      </w:r>
    </w:p>
    <w:p>
      <w:pPr>
        <w:pStyle w:val="12"/>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16.82</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84.1</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28.24</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62.67</w:t>
      </w:r>
      <w:r>
        <w:rPr>
          <w:rFonts w:ascii="Times New Roman" w:hAnsi="Times New Roman" w:eastAsia="仿宋_GB2312" w:cs="Times New Roman"/>
          <w:sz w:val="32"/>
          <w:szCs w:val="32"/>
        </w:rPr>
        <w:t>%。其中：</w:t>
      </w:r>
    </w:p>
    <w:p>
      <w:pPr>
        <w:pStyle w:val="12"/>
        <w:overflowPunct w:val="0"/>
        <w:autoSpaceDE/>
        <w:autoSpaceDN/>
        <w:spacing w:line="600" w:lineRule="exact"/>
        <w:ind w:firstLine="640" w:firstLineChars="200"/>
        <w:jc w:val="both"/>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公务用车购置费支出预算为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决算数等于预算数，主要原因是我单位严格按预算执行决算</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29.82</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highlight w:val="none"/>
        </w:rPr>
        <w:t>决算数小于上年数的主要原因是</w:t>
      </w:r>
      <w:r>
        <w:rPr>
          <w:rFonts w:hint="eastAsia" w:ascii="Times New Roman" w:hAnsi="Times New Roman" w:eastAsia="仿宋_GB2312" w:cs="Times New Roman"/>
          <w:sz w:val="32"/>
          <w:szCs w:val="32"/>
          <w:highlight w:val="none"/>
          <w:lang w:eastAsia="zh-CN"/>
        </w:rPr>
        <w:t>本单位</w:t>
      </w:r>
      <w:r>
        <w:rPr>
          <w:rFonts w:hint="eastAsia" w:ascii="Times New Roman" w:hAnsi="Times New Roman" w:eastAsia="仿宋_GB2312" w:cs="Times New Roman"/>
          <w:sz w:val="32"/>
          <w:szCs w:val="32"/>
          <w:highlight w:val="none"/>
          <w:lang w:val="en-US" w:eastAsia="zh-CN"/>
        </w:rPr>
        <w:t>2024年度</w:t>
      </w:r>
      <w:r>
        <w:rPr>
          <w:rFonts w:hint="eastAsia" w:ascii="Times New Roman" w:hAnsi="Times New Roman" w:eastAsia="仿宋_GB2312" w:cs="Times New Roman"/>
          <w:sz w:val="32"/>
          <w:szCs w:val="32"/>
          <w:highlight w:val="none"/>
        </w:rPr>
        <w:t>没有购置公务用车</w:t>
      </w:r>
      <w:r>
        <w:rPr>
          <w:rFonts w:hint="eastAsia" w:ascii="Times New Roman" w:hAnsi="Times New Roman" w:eastAsia="仿宋_GB2312" w:cs="Times New Roman"/>
          <w:sz w:val="32"/>
          <w:szCs w:val="32"/>
          <w:highlight w:val="none"/>
          <w:lang w:eastAsia="zh-CN"/>
        </w:rPr>
        <w:t>，本单位更新公务用车0辆。</w:t>
      </w:r>
    </w:p>
    <w:p>
      <w:pPr>
        <w:pStyle w:val="12"/>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w:t>
      </w:r>
      <w:bookmarkStart w:id="0" w:name="_GoBack"/>
      <w:bookmarkEnd w:id="0"/>
      <w:r>
        <w:rPr>
          <w:rFonts w:ascii="Times New Roman" w:hAnsi="Times New Roman" w:eastAsia="仿宋_GB2312" w:cs="Times New Roman"/>
          <w:sz w:val="32"/>
          <w:szCs w:val="32"/>
        </w:rPr>
        <w:t>务用车运行维护费支出预算为</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16.82</w:t>
      </w:r>
      <w:r>
        <w:rPr>
          <w:rFonts w:ascii="Times New Roman" w:hAnsi="Times New Roman" w:eastAsia="仿宋_GB2312" w:cs="Times New Roman"/>
          <w:sz w:val="32"/>
          <w:szCs w:val="32"/>
        </w:rPr>
        <w:t>万元，</w:t>
      </w:r>
    </w:p>
    <w:p>
      <w:pPr>
        <w:pStyle w:val="12"/>
        <w:overflowPunct w:val="0"/>
        <w:autoSpaceDE/>
        <w:autoSpaceDN/>
        <w:spacing w:line="600" w:lineRule="exact"/>
        <w:ind w:firstLine="640" w:firstLineChars="200"/>
        <w:jc w:val="both"/>
        <w:rPr>
          <w:rFonts w:ascii="Times New Roman" w:hAnsi="Times New Roman" w:eastAsia="楷体" w:cs="Times New Roman"/>
          <w:b/>
          <w:bCs/>
          <w:i/>
          <w:color w:val="FF0000"/>
          <w:sz w:val="32"/>
          <w:szCs w:val="32"/>
        </w:rPr>
      </w:pPr>
      <w:r>
        <w:rPr>
          <w:rFonts w:ascii="Times New Roman" w:hAnsi="Times New Roman" w:eastAsia="仿宋_GB2312" w:cs="Times New Roman"/>
          <w:sz w:val="32"/>
          <w:szCs w:val="32"/>
        </w:rPr>
        <w:t>主要是</w:t>
      </w:r>
      <w:r>
        <w:rPr>
          <w:rFonts w:hint="eastAsia" w:ascii="Times New Roman" w:hAnsi="Times New Roman" w:eastAsia="仿宋_GB2312" w:cs="Times New Roman"/>
          <w:sz w:val="32"/>
          <w:szCs w:val="32"/>
        </w:rPr>
        <w:t>公车加油维修保险</w:t>
      </w:r>
      <w:r>
        <w:rPr>
          <w:rFonts w:ascii="Times New Roman" w:hAnsi="Times New Roman" w:eastAsia="仿宋_GB2312" w:cs="Times New Roman"/>
          <w:sz w:val="32"/>
          <w:szCs w:val="32"/>
        </w:rPr>
        <w:t>支出，完成预算的</w:t>
      </w:r>
      <w:r>
        <w:rPr>
          <w:rFonts w:hint="eastAsia" w:ascii="Times New Roman" w:hAnsi="Times New Roman" w:eastAsia="仿宋_GB2312" w:cs="Times New Roman"/>
          <w:sz w:val="32"/>
          <w:szCs w:val="32"/>
          <w:lang w:val="en-US" w:eastAsia="zh-CN"/>
        </w:rPr>
        <w:t>84.1</w:t>
      </w:r>
      <w:r>
        <w:rPr>
          <w:rFonts w:ascii="Times New Roman" w:hAnsi="Times New Roman" w:eastAsia="仿宋_GB2312" w:cs="Times New Roman"/>
          <w:sz w:val="32"/>
          <w:szCs w:val="32"/>
        </w:rPr>
        <w:t>%；与上年相比增加</w:t>
      </w:r>
      <w:r>
        <w:rPr>
          <w:rFonts w:hint="eastAsia" w:ascii="Times New Roman" w:hAnsi="Times New Roman" w:eastAsia="仿宋_GB2312" w:cs="Times New Roman"/>
          <w:sz w:val="32"/>
          <w:szCs w:val="32"/>
          <w:lang w:val="en-US" w:eastAsia="zh-CN"/>
        </w:rPr>
        <w:t>1.58</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10.37</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rPr>
        <w:t>我单位按有关政策厉行节约，严控公务用车运行维护支出</w:t>
      </w:r>
      <w:r>
        <w:rPr>
          <w:rFonts w:ascii="Times New Roman" w:hAnsi="Times New Roman" w:eastAsia="仿宋_GB2312" w:cs="Times New Roman"/>
          <w:sz w:val="32"/>
          <w:szCs w:val="32"/>
        </w:rPr>
        <w:t>。决算数大于上年数的主要原因是</w:t>
      </w:r>
      <w:r>
        <w:rPr>
          <w:rFonts w:hint="eastAsia" w:ascii="Times New Roman" w:hAnsi="Times New Roman" w:eastAsia="仿宋_GB2312" w:cs="Times New Roman"/>
          <w:sz w:val="32"/>
          <w:szCs w:val="32"/>
          <w:highlight w:val="none"/>
          <w:lang w:eastAsia="zh-CN"/>
        </w:rPr>
        <w:t>受油价上涨、车辆零部件老化需频繁维修保养等因素影响，公务用车运行维护成本上升</w:t>
      </w:r>
      <w:r>
        <w:rPr>
          <w:rFonts w:ascii="Times New Roman" w:hAnsi="Times New Roman" w:eastAsia="仿宋_GB2312" w:cs="Times New Roman"/>
          <w:sz w:val="32"/>
          <w:szCs w:val="32"/>
          <w:highlight w:val="none"/>
        </w:rPr>
        <w:t>。截止</w:t>
      </w:r>
      <w:r>
        <w:rPr>
          <w:rFonts w:hint="eastAsia" w:ascii="Times New Roman" w:hAnsi="Times New Roman" w:eastAsia="仿宋_GB2312" w:cs="Times New Roman"/>
          <w:sz w:val="32"/>
          <w:szCs w:val="32"/>
          <w:highlight w:val="none"/>
          <w:lang w:eastAsia="zh-CN"/>
        </w:rPr>
        <w:t>到</w:t>
      </w:r>
      <w:r>
        <w:rPr>
          <w:rFonts w:ascii="Times New Roman" w:hAnsi="Times New Roman" w:eastAsia="仿宋_GB2312" w:cs="Times New Roman"/>
          <w:sz w:val="32"/>
          <w:szCs w:val="32"/>
          <w:highlight w:val="none"/>
        </w:rPr>
        <w:t>2024年12月31日，我单位开支财政拨款的公务用车保有量为</w:t>
      </w:r>
      <w:r>
        <w:rPr>
          <w:rFonts w:hint="eastAsia" w:ascii="Times New Roman" w:hAnsi="Times New Roman" w:eastAsia="仿宋_GB2312" w:cs="Times New Roman"/>
          <w:sz w:val="32"/>
          <w:szCs w:val="32"/>
          <w:highlight w:val="none"/>
          <w:lang w:val="en-US" w:eastAsia="zh-CN"/>
        </w:rPr>
        <w:t>10</w:t>
      </w:r>
      <w:r>
        <w:rPr>
          <w:rFonts w:ascii="Times New Roman" w:hAnsi="Times New Roman" w:eastAsia="仿宋_GB2312" w:cs="Times New Roman"/>
          <w:sz w:val="32"/>
          <w:szCs w:val="32"/>
          <w:highlight w:val="none"/>
        </w:rPr>
        <w:t>辆。</w:t>
      </w:r>
    </w:p>
    <w:p>
      <w:pPr>
        <w:numPr>
          <w:ilvl w:val="0"/>
          <w:numId w:val="0"/>
        </w:numPr>
        <w:ind w:firstLine="640" w:firstLineChars="200"/>
        <w:rPr>
          <w:rFonts w:hint="eastAsia" w:ascii="Times New Roman" w:hAnsi="Times New Roman" w:eastAsia="仿宋_GB2312"/>
          <w:b/>
          <w:color w:val="auto"/>
          <w:sz w:val="32"/>
          <w:szCs w:val="32"/>
          <w:lang w:eastAsia="zh-CN"/>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2.18</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73.67</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0.76</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25.85</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sz w:val="32"/>
          <w:szCs w:val="32"/>
          <w:lang w:eastAsia="zh-CN"/>
        </w:rPr>
        <w:t>我单位按有关政策厉行节约，严控公务接待支出</w:t>
      </w:r>
      <w:r>
        <w:rPr>
          <w:rFonts w:ascii="Times New Roman" w:hAnsi="Times New Roman" w:eastAsia="仿宋_GB2312" w:cs="Times New Roman"/>
          <w:sz w:val="32"/>
          <w:szCs w:val="32"/>
        </w:rPr>
        <w:t>。决算数小于上年数的主要原因是</w:t>
      </w:r>
      <w:r>
        <w:rPr>
          <w:rFonts w:hint="eastAsia" w:ascii="Times New Roman" w:hAnsi="Times New Roman" w:eastAsia="仿宋_GB2312"/>
          <w:sz w:val="32"/>
          <w:szCs w:val="32"/>
          <w:lang w:eastAsia="zh-CN"/>
        </w:rPr>
        <w:t>我单位按有关政策厉行节约，严控公务接待支出</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2024年度共接待来访团组</w:t>
      </w:r>
      <w:r>
        <w:rPr>
          <w:rFonts w:hint="eastAsia" w:ascii="Times New Roman" w:hAnsi="Times New Roman" w:eastAsia="仿宋_GB2312" w:cs="Times New Roman"/>
          <w:sz w:val="32"/>
          <w:szCs w:val="32"/>
          <w:highlight w:val="none"/>
          <w:lang w:val="en-US" w:eastAsia="zh-CN"/>
        </w:rPr>
        <w:t>19</w:t>
      </w:r>
      <w:r>
        <w:rPr>
          <w:rFonts w:ascii="Times New Roman" w:hAnsi="Times New Roman" w:eastAsia="仿宋_GB2312" w:cs="Times New Roman"/>
          <w:sz w:val="32"/>
          <w:szCs w:val="32"/>
          <w:highlight w:val="none"/>
        </w:rPr>
        <w:t>个、来宾</w:t>
      </w:r>
      <w:r>
        <w:rPr>
          <w:rFonts w:hint="eastAsia" w:ascii="Times New Roman" w:hAnsi="Times New Roman" w:eastAsia="仿宋_GB2312" w:cs="Times New Roman"/>
          <w:sz w:val="32"/>
          <w:szCs w:val="32"/>
          <w:highlight w:val="none"/>
          <w:lang w:val="en-US" w:eastAsia="zh-CN"/>
        </w:rPr>
        <w:t>156</w:t>
      </w:r>
      <w:r>
        <w:rPr>
          <w:rFonts w:ascii="Times New Roman" w:hAnsi="Times New Roman" w:eastAsia="仿宋_GB2312" w:cs="Times New Roman"/>
          <w:sz w:val="32"/>
          <w:szCs w:val="32"/>
          <w:highlight w:val="none"/>
        </w:rPr>
        <w:t>人次，主要是</w:t>
      </w:r>
      <w:r>
        <w:rPr>
          <w:rFonts w:hint="eastAsia" w:ascii="Times New Roman" w:hAnsi="Times New Roman" w:eastAsia="仿宋_GB2312" w:cs="Times New Roman"/>
          <w:sz w:val="32"/>
          <w:szCs w:val="32"/>
          <w:highlight w:val="none"/>
          <w:lang w:eastAsia="zh-CN"/>
        </w:rPr>
        <w:t>执法办案</w:t>
      </w:r>
      <w:r>
        <w:rPr>
          <w:rFonts w:ascii="Times New Roman" w:hAnsi="Times New Roman" w:eastAsia="仿宋_GB2312" w:cs="Times New Roman"/>
          <w:sz w:val="32"/>
          <w:szCs w:val="32"/>
          <w:highlight w:val="none"/>
        </w:rPr>
        <w:t>发生的接待支出。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hint="default" w:ascii="Times New Roman" w:hAnsi="Times New Roman" w:eastAsia="仿宋_GB2312"/>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309.34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比上年决算数增加</w:t>
      </w:r>
      <w:r>
        <w:rPr>
          <w:rFonts w:hint="eastAsia" w:ascii="仿宋_GB2312" w:hAnsi="仿宋_GB2312" w:eastAsia="仿宋_GB2312" w:cs="仿宋_GB2312"/>
          <w:sz w:val="32"/>
          <w:szCs w:val="32"/>
          <w:highlight w:val="none"/>
          <w:lang w:val="en-US" w:eastAsia="zh-CN"/>
        </w:rPr>
        <w:t>61.31</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24.72</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val="en-US" w:eastAsia="zh-CN"/>
        </w:rPr>
        <w:t>增加电动自行车专项整治开支。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年度，会议费年初预算0.5万元，支出决算为0.55万元，完成年初预算的110%。</w:t>
      </w:r>
      <w:r>
        <w:rPr>
          <w:rFonts w:hint="eastAsia" w:ascii="仿宋_GB2312" w:hAnsi="仿宋_GB2312" w:eastAsia="仿宋_GB2312" w:cs="仿宋_GB2312"/>
          <w:color w:val="auto"/>
          <w:sz w:val="32"/>
          <w:szCs w:val="32"/>
          <w:highlight w:val="none"/>
          <w:lang w:val="en-US" w:eastAsia="zh-CN"/>
        </w:rPr>
        <w:t>用于召开支队委员会第一次党员大会会议，</w:t>
      </w:r>
      <w:r>
        <w:rPr>
          <w:rFonts w:hint="eastAsia" w:ascii="仿宋_GB2312" w:hAnsi="仿宋_GB2312" w:eastAsia="仿宋_GB2312" w:cs="仿宋_GB2312"/>
          <w:color w:val="auto"/>
          <w:sz w:val="32"/>
          <w:szCs w:val="32"/>
          <w:highlight w:val="none"/>
        </w:rPr>
        <w:t>人数</w:t>
      </w:r>
      <w:r>
        <w:rPr>
          <w:rFonts w:hint="eastAsia" w:ascii="仿宋_GB2312" w:hAnsi="仿宋_GB2312" w:eastAsia="仿宋_GB2312" w:cs="仿宋_GB2312"/>
          <w:color w:val="auto"/>
          <w:sz w:val="32"/>
          <w:szCs w:val="32"/>
          <w:highlight w:val="none"/>
          <w:lang w:val="en-US" w:eastAsia="zh-CN"/>
        </w:rPr>
        <w:t>208</w:t>
      </w:r>
      <w:r>
        <w:rPr>
          <w:rFonts w:hint="eastAsia" w:ascii="仿宋_GB2312" w:hAnsi="仿宋_GB2312" w:eastAsia="仿宋_GB2312" w:cs="仿宋_GB2312"/>
          <w:color w:val="auto"/>
          <w:sz w:val="32"/>
          <w:szCs w:val="32"/>
          <w:highlight w:val="none"/>
        </w:rPr>
        <w:t>人，内容为</w:t>
      </w:r>
      <w:r>
        <w:rPr>
          <w:rFonts w:hint="eastAsia" w:ascii="仿宋_GB2312" w:hAnsi="仿宋_GB2312" w:eastAsia="仿宋_GB2312" w:cs="仿宋_GB2312"/>
          <w:color w:val="auto"/>
          <w:sz w:val="32"/>
          <w:szCs w:val="32"/>
          <w:highlight w:val="none"/>
          <w:lang w:eastAsia="zh-CN"/>
        </w:rPr>
        <w:t>选举中共岳阳市市场监管综合行政执法支队第一届委员会和第一届纪律检查委员会。</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培训费年初预算2万元，支出决算为1.81万元，完成年初预算的91%。用于</w:t>
      </w:r>
      <w:r>
        <w:rPr>
          <w:rFonts w:hint="eastAsia" w:ascii="仿宋_GB2312" w:hAnsi="仿宋_GB2312" w:eastAsia="仿宋_GB2312" w:cs="仿宋_GB2312"/>
          <w:color w:val="000000"/>
          <w:kern w:val="0"/>
          <w:sz w:val="32"/>
          <w:szCs w:val="32"/>
          <w:highlight w:val="none"/>
          <w:lang w:val="en-US" w:eastAsia="zh-CN" w:bidi="ar-SA"/>
        </w:rPr>
        <w:t>开展支队春节执法培训，人数75人，内容为法律法规和执法业务的学习。</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316.05</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78.72</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12.84</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224.49</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316.05</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316.05</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39</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39</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个，共涉及资金</w:t>
      </w:r>
      <w:r>
        <w:rPr>
          <w:rFonts w:hint="eastAsia" w:ascii="Times New Roman" w:hAnsi="Times New Roman" w:eastAsia="仿宋_GB2312" w:cs="Times New Roman"/>
          <w:kern w:val="0"/>
          <w:sz w:val="32"/>
          <w:szCs w:val="32"/>
          <w:lang w:val="en-US" w:eastAsia="zh-CN"/>
        </w:rPr>
        <w:t>203.93</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203.93</w:t>
      </w:r>
      <w:r>
        <w:rPr>
          <w:rFonts w:ascii="Times New Roman" w:hAnsi="Times New Roman" w:eastAsia="仿宋_GB2312" w:cs="Times New Roman"/>
          <w:kern w:val="0"/>
          <w:sz w:val="32"/>
          <w:szCs w:val="32"/>
        </w:rPr>
        <w:t>万元，占一般公共预算支出总额的</w:t>
      </w:r>
      <w:r>
        <w:rPr>
          <w:rFonts w:hint="eastAsia" w:ascii="Times New Roman" w:hAnsi="Times New Roman" w:eastAsia="仿宋_GB2312" w:cs="Times New Roman"/>
          <w:kern w:val="0"/>
          <w:sz w:val="32"/>
          <w:szCs w:val="32"/>
          <w:lang w:val="en-US" w:eastAsia="zh-CN"/>
        </w:rPr>
        <w:t>9.98</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w:t>
      </w:r>
      <w:r>
        <w:rPr>
          <w:rFonts w:hint="eastAsia" w:ascii="Times New Roman" w:hAnsi="Times New Roman" w:eastAsia="仿宋_GB2312" w:cs="Times New Roman"/>
          <w:kern w:val="0"/>
          <w:sz w:val="32"/>
          <w:szCs w:val="32"/>
        </w:rPr>
        <w:t>由于政府性基金预算项目支出总额为0，故无法计算占政府性基金预算支出总额的比重</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w:t>
      </w:r>
      <w:r>
        <w:rPr>
          <w:rFonts w:hint="eastAsia" w:ascii="Times New Roman" w:hAnsi="Times New Roman" w:eastAsia="仿宋_GB2312" w:cs="Times New Roman"/>
          <w:kern w:val="0"/>
          <w:sz w:val="32"/>
          <w:szCs w:val="32"/>
        </w:rPr>
        <w:t>由于国有资本经营预算项目支出总额为0，故无法计算占国有资本经营预算支出总额的比重</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万元，</w:t>
      </w:r>
      <w:r>
        <w:rPr>
          <w:rFonts w:hint="eastAsia" w:ascii="Times New Roman" w:hAnsi="Times New Roman" w:eastAsia="仿宋_GB2312" w:cs="Times New Roman"/>
          <w:kern w:val="0"/>
          <w:sz w:val="32"/>
          <w:szCs w:val="32"/>
          <w:highlight w:val="none"/>
        </w:rPr>
        <w:t>由于</w:t>
      </w:r>
      <w:r>
        <w:rPr>
          <w:rFonts w:hint="eastAsia" w:ascii="Times New Roman" w:hAnsi="Times New Roman" w:eastAsia="仿宋_GB2312" w:cs="Times New Roman"/>
          <w:kern w:val="0"/>
          <w:sz w:val="32"/>
          <w:szCs w:val="32"/>
          <w:highlight w:val="none"/>
          <w:lang w:eastAsia="zh-CN"/>
        </w:rPr>
        <w:t>社会保险基金</w:t>
      </w:r>
      <w:r>
        <w:rPr>
          <w:rFonts w:hint="eastAsia" w:ascii="Times New Roman" w:hAnsi="Times New Roman" w:eastAsia="仿宋_GB2312" w:cs="Times New Roman"/>
          <w:kern w:val="0"/>
          <w:sz w:val="32"/>
          <w:szCs w:val="32"/>
          <w:highlight w:val="none"/>
        </w:rPr>
        <w:t>预算项目支出总额为0，故无法计算占社会保险基金预算支出总额的比重</w:t>
      </w:r>
      <w:r>
        <w:rPr>
          <w:rFonts w:ascii="Times New Roman" w:hAnsi="Times New Roman" w:eastAsia="仿宋_GB2312" w:cs="Times New Roman"/>
          <w:kern w:val="0"/>
          <w:sz w:val="32"/>
          <w:szCs w:val="32"/>
          <w:highlight w:val="none"/>
        </w:rPr>
        <w:t>。</w:t>
      </w:r>
    </w:p>
    <w:p>
      <w:pPr>
        <w:overflowPunct w:val="0"/>
        <w:spacing w:line="600" w:lineRule="exact"/>
        <w:ind w:firstLine="640" w:firstLineChars="200"/>
        <w:rPr>
          <w:rFonts w:hint="eastAsia" w:ascii="Times New Roman" w:hAnsi="Times New Roman" w:eastAsia="仿宋_GB2312" w:cs="Times New Roman"/>
          <w:color w:val="FF0000"/>
          <w:kern w:val="0"/>
          <w:sz w:val="32"/>
          <w:szCs w:val="32"/>
          <w:lang w:eastAsia="zh-CN"/>
        </w:rPr>
      </w:pPr>
      <w:r>
        <w:rPr>
          <w:rFonts w:hint="eastAsia" w:ascii="Times New Roman" w:hAnsi="Times New Roman" w:eastAsia="仿宋_GB2312" w:cs="Times New Roman"/>
          <w:kern w:val="0"/>
          <w:sz w:val="32"/>
          <w:szCs w:val="32"/>
          <w:highlight w:val="none"/>
          <w:lang w:val="en-US" w:eastAsia="zh-CN"/>
        </w:rPr>
        <w:t>2.</w:t>
      </w:r>
      <w:r>
        <w:rPr>
          <w:rFonts w:ascii="Times New Roman" w:hAnsi="Times New Roman" w:eastAsia="仿宋_GB2312" w:cs="Times New Roman"/>
          <w:b/>
          <w:bCs/>
          <w:kern w:val="0"/>
          <w:sz w:val="32"/>
          <w:szCs w:val="32"/>
        </w:rPr>
        <w:t>部门评价开展情况。</w:t>
      </w:r>
      <w:r>
        <w:rPr>
          <w:rFonts w:hint="eastAsia" w:ascii="Times New Roman" w:hAnsi="Times New Roman" w:eastAsia="仿宋_GB2312" w:cs="Times New Roman"/>
          <w:color w:val="auto"/>
          <w:kern w:val="0"/>
          <w:sz w:val="32"/>
          <w:szCs w:val="32"/>
          <w:lang w:val="en-US" w:eastAsia="zh-CN"/>
        </w:rPr>
        <w:t>本单位为二级预算单位，部门评价开展情况可详见上级部门决算公开说明。</w:t>
      </w:r>
    </w:p>
    <w:p>
      <w:pPr>
        <w:overflowPunct w:val="0"/>
        <w:spacing w:line="600" w:lineRule="exact"/>
        <w:ind w:firstLine="640" w:firstLineChars="200"/>
        <w:rPr>
          <w:rFonts w:ascii="Times New Roman" w:hAnsi="Times New Roman" w:eastAsia="楷体" w:cs="Times New Roman"/>
          <w:b/>
          <w:bCs/>
          <w:sz w:val="32"/>
          <w:szCs w:val="32"/>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color w:val="auto"/>
          <w:kern w:val="0"/>
          <w:sz w:val="32"/>
          <w:szCs w:val="32"/>
          <w:lang w:val="en-US" w:eastAsia="zh-CN"/>
        </w:rPr>
        <w:t>本单位为二级预算单位，事前绩效评估开展情况可详见上级部门决算公开说明。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2138.79</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2054.87</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96.08</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sz w:val="32"/>
          <w:szCs w:val="32"/>
          <w:lang w:val="en-US" w:eastAsia="zh-CN"/>
        </w:rPr>
        <w:t>9.5</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优</w:t>
      </w:r>
      <w:r>
        <w:rPr>
          <w:rFonts w:ascii="Times New Roman" w:hAnsi="Times New Roman" w:eastAsia="仿宋_GB2312" w:cs="Times New Roman"/>
          <w:sz w:val="32"/>
          <w:szCs w:val="32"/>
        </w:rPr>
        <w:t>”。绩效目标完成情况：</w:t>
      </w:r>
      <w:r>
        <w:rPr>
          <w:rFonts w:ascii="Times New Roman" w:hAnsi="Times New Roman" w:eastAsia="仿宋_GB2312" w:cs="Times New Roman"/>
          <w:b/>
          <w:bCs/>
          <w:sz w:val="32"/>
          <w:szCs w:val="32"/>
        </w:rPr>
        <w:t>一是</w:t>
      </w:r>
      <w:r>
        <w:rPr>
          <w:rFonts w:hint="eastAsia" w:ascii="Times New Roman" w:hAnsi="Times New Roman" w:eastAsia="仿宋_GB2312" w:cs="Times New Roman"/>
          <w:b/>
          <w:bCs/>
          <w:sz w:val="32"/>
          <w:szCs w:val="32"/>
        </w:rPr>
        <w:t>化政治担当，牵头工作有序开展。</w:t>
      </w:r>
      <w:r>
        <w:rPr>
          <w:rFonts w:hint="eastAsia" w:ascii="Times New Roman" w:hAnsi="Times New Roman" w:eastAsia="仿宋_GB2312" w:cs="Times New Roman"/>
          <w:sz w:val="32"/>
          <w:szCs w:val="32"/>
        </w:rPr>
        <w:t>常态化扫黑除恶斗争工作顺利迎接中央督导。</w:t>
      </w:r>
      <w:r>
        <w:rPr>
          <w:rFonts w:hint="eastAsia" w:ascii="Times New Roman" w:hAnsi="Times New Roman" w:eastAsia="仿宋_GB2312" w:cs="Times New Roman"/>
          <w:b/>
          <w:bCs/>
          <w:sz w:val="32"/>
          <w:szCs w:val="32"/>
        </w:rPr>
        <w:t>长江禁渔治理再深化。</w:t>
      </w:r>
      <w:r>
        <w:rPr>
          <w:rFonts w:hint="eastAsia" w:ascii="Times New Roman" w:hAnsi="Times New Roman" w:eastAsia="仿宋_GB2312" w:cs="Times New Roman"/>
          <w:sz w:val="32"/>
          <w:szCs w:val="32"/>
        </w:rPr>
        <w:t>开展禁捕退捕执法行动4次，办结市局转交线索1起，联合农村农业部门开展禁捕退捕突击行动1次，现场责令整改5户，向社会发布“长江禁捕打非断链”典型案例6起。11月份，查办了1起非法出售无合法来源证明的地方重点保护的野生动物及其制品违法行为，系近年来首例。</w:t>
      </w:r>
      <w:r>
        <w:rPr>
          <w:rFonts w:hint="eastAsia" w:ascii="Times New Roman" w:hAnsi="Times New Roman" w:eastAsia="仿宋_GB2312" w:cs="Times New Roman"/>
          <w:b/>
          <w:bCs/>
          <w:sz w:val="32"/>
          <w:szCs w:val="32"/>
        </w:rPr>
        <w:t>烟酒市场整治再出击。</w:t>
      </w:r>
      <w:r>
        <w:rPr>
          <w:rFonts w:hint="eastAsia" w:ascii="Times New Roman" w:hAnsi="Times New Roman" w:eastAsia="仿宋_GB2312" w:cs="Times New Roman"/>
          <w:sz w:val="32"/>
          <w:szCs w:val="32"/>
        </w:rPr>
        <w:t>联合烟草部门在岳阳中学开展“远离电子烟”知识宣讲大型活动。组织全市市场监管部门联合各级烟草部门开展烟草整治行动44次，检查烟草经营户662户，立案14起，罚没22.08万元，取缔或劝退下架整改无证经营户37户，交办烟草案件3起，清理整改烟草轻微违法线索6条。10月21日，顺利迎接了省市场监管局、省烟草局、省邮政局的联合督导工作。开展“特供酒”清源打链专项行动，严查制售“特供酒”违法违规行为，核办省局交办线索2起。办理涉嫌假冒茅台酒线索1起，涉案货物18瓶，办理标签标识不符酒类案件1起</w:t>
      </w:r>
      <w:r>
        <w:rPr>
          <w:rFonts w:ascii="Times New Roman" w:hAnsi="Times New Roman" w:eastAsia="仿宋_GB2312" w:cs="Times New Roman"/>
          <w:sz w:val="32"/>
          <w:szCs w:val="32"/>
        </w:rPr>
        <w:t>；</w:t>
      </w:r>
      <w:r>
        <w:rPr>
          <w:rFonts w:ascii="Times New Roman" w:hAnsi="Times New Roman" w:eastAsia="仿宋_GB2312" w:cs="Times New Roman"/>
          <w:b/>
          <w:bCs/>
          <w:sz w:val="32"/>
          <w:szCs w:val="32"/>
        </w:rPr>
        <w:t>二是</w:t>
      </w:r>
      <w:r>
        <w:rPr>
          <w:rFonts w:hint="eastAsia" w:ascii="Times New Roman" w:hAnsi="Times New Roman" w:eastAsia="仿宋_GB2312" w:cs="Times New Roman"/>
          <w:b/>
          <w:bCs/>
          <w:sz w:val="32"/>
          <w:szCs w:val="32"/>
        </w:rPr>
        <w:t>焦“统一大市场”，“双打”、“两反”工作加力推进。分类开展检测机构专项检查。</w:t>
      </w:r>
      <w:r>
        <w:rPr>
          <w:rFonts w:hint="eastAsia" w:ascii="Times New Roman" w:hAnsi="Times New Roman" w:eastAsia="仿宋_GB2312" w:cs="Times New Roman"/>
          <w:sz w:val="32"/>
          <w:szCs w:val="32"/>
        </w:rPr>
        <w:t>检查检测机构及相关单位15家，发现不实检测报告14份、超范围出具检测报告800份，办理某环境科技有限公司超资质范围出具报告等案件2起。</w:t>
      </w:r>
      <w:r>
        <w:rPr>
          <w:rFonts w:hint="eastAsia" w:ascii="Times New Roman" w:hAnsi="Times New Roman" w:eastAsia="仿宋_GB2312" w:cs="Times New Roman"/>
          <w:b/>
          <w:bCs/>
          <w:sz w:val="32"/>
          <w:szCs w:val="32"/>
        </w:rPr>
        <w:t>大力开展电动自行车专项整治。</w:t>
      </w:r>
      <w:r>
        <w:rPr>
          <w:rFonts w:hint="eastAsia" w:ascii="Times New Roman" w:hAnsi="Times New Roman" w:eastAsia="仿宋_GB2312" w:cs="Times New Roman"/>
          <w:sz w:val="32"/>
          <w:szCs w:val="32"/>
        </w:rPr>
        <w:t>组织参加了全省电动车执法交叉检查。检查岳阳楼区、君山区、云溪区电动车经销店22家，发现涉嫌非法改装、加装电动自行车共647台，立案调查6起，移送公安2起，刑事拘留2人。严</w:t>
      </w:r>
      <w:r>
        <w:rPr>
          <w:rFonts w:hint="eastAsia" w:ascii="Times New Roman" w:hAnsi="Times New Roman" w:eastAsia="仿宋_GB2312" w:cs="Times New Roman"/>
          <w:b/>
          <w:bCs/>
          <w:sz w:val="32"/>
          <w:szCs w:val="32"/>
        </w:rPr>
        <w:t>厉打击商标侵权行为。</w:t>
      </w:r>
      <w:r>
        <w:rPr>
          <w:rFonts w:hint="eastAsia" w:ascii="Times New Roman" w:hAnsi="Times New Roman" w:eastAsia="仿宋_GB2312" w:cs="Times New Roman"/>
          <w:sz w:val="32"/>
          <w:szCs w:val="32"/>
        </w:rPr>
        <w:t>查办岳阳市某商行侵犯注册商标专用权及虚假宣传等案件3起。9月8日，执法支队云溪大队突击查处一起制售侵权产品窝点，控制现厂作业人员8名，作业设备3台，并立案调查。</w:t>
      </w:r>
      <w:r>
        <w:rPr>
          <w:rFonts w:hint="eastAsia" w:ascii="Times New Roman" w:hAnsi="Times New Roman" w:eastAsia="仿宋_GB2312" w:cs="Times New Roman"/>
          <w:b/>
          <w:bCs/>
          <w:sz w:val="32"/>
          <w:szCs w:val="32"/>
        </w:rPr>
        <w:t>两反执法有效开展。</w:t>
      </w:r>
      <w:r>
        <w:rPr>
          <w:rFonts w:hint="eastAsia" w:ascii="Times New Roman" w:hAnsi="Times New Roman" w:eastAsia="仿宋_GB2312" w:cs="Times New Roman"/>
          <w:sz w:val="32"/>
          <w:szCs w:val="32"/>
        </w:rPr>
        <w:t>严厉打击破坏市场公平竞争行为，对某保安公司押钞价格垄断、4家职业培训机构价格欺诈、虚假宣传进行检查，协助省局核查湖南某公司涉嫌商业贿赂线索。11月，配合省局对岳阳县教育体育局启动反垄断立案调查，实现了岳阳市查办垄断案件零的突破</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b/>
          <w:bCs/>
          <w:sz w:val="32"/>
          <w:szCs w:val="32"/>
          <w:lang w:eastAsia="zh-CN"/>
        </w:rPr>
        <w:t>三是焦安全民生，重点产品检查持续巩固。食品方面，</w:t>
      </w:r>
      <w:r>
        <w:rPr>
          <w:rFonts w:hint="eastAsia" w:ascii="Times New Roman" w:hAnsi="Times New Roman" w:eastAsia="仿宋_GB2312" w:cs="Times New Roman"/>
          <w:sz w:val="32"/>
          <w:szCs w:val="32"/>
          <w:lang w:eastAsia="zh-CN"/>
        </w:rPr>
        <w:t>全年开展了食品安全“年关守护”、面向未成年人“无底线营销”专项检查、预制菜专项检查、校园食品安全专项整治、肉及肉制品专项整治等五项专项执法。9月，联合市农业局综合行政执法支队、市公安局食药环支队检查梅溪桥、八字门、花板桥等农贸市场，共出动执法人员260余人次，检查岳阳楼区、君山区夜市摊位、火锅店等主体80余家，排查问题17个，查办食品案件9件。</w:t>
      </w:r>
      <w:r>
        <w:rPr>
          <w:rFonts w:hint="eastAsia" w:ascii="Times New Roman" w:hAnsi="Times New Roman" w:eastAsia="仿宋_GB2312" w:cs="Times New Roman"/>
          <w:b/>
          <w:bCs/>
          <w:sz w:val="32"/>
          <w:szCs w:val="32"/>
          <w:lang w:eastAsia="zh-CN"/>
        </w:rPr>
        <w:t>药品方面，</w:t>
      </w:r>
      <w:r>
        <w:rPr>
          <w:rFonts w:hint="eastAsia" w:ascii="Times New Roman" w:hAnsi="Times New Roman" w:eastAsia="仿宋_GB2312" w:cs="Times New Roman"/>
          <w:sz w:val="32"/>
          <w:szCs w:val="32"/>
          <w:lang w:eastAsia="zh-CN"/>
        </w:rPr>
        <w:t>重点开展岳阳市药品流通领域"清渠 2024"专项稽查行动。行动开展以来，执法组分别对市中心城区医疗机构、医疗器械经营企业、医疗美容机构、化妆品经营企业开展专项稽查，共查办药械化案件10件，成效明显。</w:t>
      </w:r>
      <w:r>
        <w:rPr>
          <w:rFonts w:hint="eastAsia" w:ascii="Times New Roman" w:hAnsi="Times New Roman" w:eastAsia="仿宋_GB2312" w:cs="Times New Roman"/>
          <w:b/>
          <w:bCs/>
          <w:sz w:val="32"/>
          <w:szCs w:val="32"/>
          <w:lang w:eastAsia="zh-CN"/>
        </w:rPr>
        <w:t>特种设备方面，</w:t>
      </w:r>
      <w:r>
        <w:rPr>
          <w:rFonts w:hint="eastAsia" w:ascii="Times New Roman" w:hAnsi="Times New Roman" w:eastAsia="仿宋_GB2312" w:cs="Times New Roman"/>
          <w:sz w:val="32"/>
          <w:szCs w:val="32"/>
          <w:lang w:eastAsia="zh-CN"/>
        </w:rPr>
        <w:t>完成平江石牛寨索道困人事故调查和立案处置。重点开展压力管道、安全检测等安全检查，查办某燃料有限公司使用未经检验压力管道等案件2起。</w:t>
      </w:r>
      <w:r>
        <w:rPr>
          <w:rFonts w:hint="eastAsia" w:ascii="Times New Roman" w:hAnsi="Times New Roman" w:eastAsia="仿宋_GB2312" w:cs="Times New Roman"/>
          <w:b/>
          <w:bCs/>
          <w:sz w:val="32"/>
          <w:szCs w:val="32"/>
          <w:lang w:eastAsia="zh-CN"/>
        </w:rPr>
        <w:t>计量方面，</w:t>
      </w:r>
      <w:r>
        <w:rPr>
          <w:rFonts w:hint="eastAsia" w:ascii="Times New Roman" w:hAnsi="Times New Roman" w:eastAsia="仿宋_GB2312" w:cs="Times New Roman"/>
          <w:sz w:val="32"/>
          <w:szCs w:val="32"/>
          <w:lang w:eastAsia="zh-CN"/>
        </w:rPr>
        <w:t>开展“阳光市监  诚信计量惠民生”民用三表执法检查，监督抽查民用三表79台件，此举获得人大代表、政协委员和市民高度赞扬。持续开展成品油市场整治，核查省局交办线索3起、举报线索1起，办结案件3件，联合市公安局、南湖新区应急管理局取缔“自流黑”加油点1起。</w:t>
      </w:r>
      <w:r>
        <w:rPr>
          <w:rFonts w:hint="eastAsia" w:ascii="Times New Roman" w:hAnsi="Times New Roman" w:eastAsia="仿宋_GB2312" w:cs="Times New Roman"/>
          <w:b/>
          <w:bCs/>
          <w:sz w:val="32"/>
          <w:szCs w:val="32"/>
          <w:lang w:eastAsia="zh-CN"/>
        </w:rPr>
        <w:t>价格执法方面，</w:t>
      </w:r>
      <w:r>
        <w:rPr>
          <w:rFonts w:hint="eastAsia" w:ascii="Times New Roman" w:hAnsi="Times New Roman" w:eastAsia="仿宋_GB2312" w:cs="Times New Roman"/>
          <w:sz w:val="32"/>
          <w:szCs w:val="32"/>
          <w:lang w:eastAsia="zh-CN"/>
        </w:rPr>
        <w:t>聚集民生痛点，有序开展教育收费、涉企收费、物业服务收费、行政审批中介服务收费、转供电电价等多项执法检查，查办价格领域案件21起。针对市纪委监委重点督办的殡葬领域乱收费、高收费等问题，岳阳执法支队从严整治，依法查处岳阳市岳阳楼区某陵园违法违规收费问题，没收违法所得315万元，并将相关线索移交纪委。</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发现的主要问题及原因：一是</w:t>
      </w:r>
      <w:r>
        <w:rPr>
          <w:rFonts w:hint="eastAsia" w:ascii="Times New Roman" w:hAnsi="Times New Roman" w:eastAsia="仿宋_GB2312" w:cs="Times New Roman"/>
          <w:sz w:val="32"/>
          <w:szCs w:val="32"/>
        </w:rPr>
        <w:t>财政财务管理越来越规范，对内部控制管理、资产管理、预算绩效管理、新政府会计制度核算管理等对财务人员专业素质要求越来越高</w:t>
      </w:r>
      <w:r>
        <w:rPr>
          <w:rFonts w:ascii="Times New Roman" w:hAnsi="Times New Roman" w:eastAsia="仿宋_GB2312" w:cs="Times New Roman"/>
          <w:sz w:val="32"/>
          <w:szCs w:val="32"/>
        </w:rPr>
        <w:t>；二是</w:t>
      </w:r>
      <w:r>
        <w:rPr>
          <w:rFonts w:hint="eastAsia" w:ascii="Times New Roman" w:hAnsi="Times New Roman" w:eastAsia="仿宋_GB2312" w:cs="Times New Roman"/>
          <w:sz w:val="32"/>
          <w:szCs w:val="32"/>
        </w:rPr>
        <w:t>虽然实施绩效管理后财政预算资金管理精细化水平已有所提高，但在部分绩效指标设置的精准性、合理性上有待进一步改善</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lang w:eastAsia="zh-CN"/>
        </w:rPr>
      </w:pPr>
      <w:r>
        <w:rPr>
          <w:rFonts w:ascii="Times New Roman" w:hAnsi="Times New Roman" w:eastAsia="仿宋_GB2312" w:cs="Times New Roman"/>
          <w:sz w:val="32"/>
          <w:szCs w:val="32"/>
        </w:rPr>
        <w:t>下一步改进措施：一是</w:t>
      </w:r>
      <w:r>
        <w:rPr>
          <w:rFonts w:hint="eastAsia" w:ascii="Times New Roman" w:hAnsi="Times New Roman" w:eastAsia="仿宋_GB2312" w:cs="Times New Roman"/>
          <w:sz w:val="32"/>
          <w:szCs w:val="32"/>
        </w:rPr>
        <w:t>细化绩效目标的制定，加强预算编制工作的准确性，加强绩效运行监控自评工作，增强单位的支出责任，提高财政资金的使用效益</w:t>
      </w:r>
      <w:r>
        <w:rPr>
          <w:rFonts w:ascii="Times New Roman" w:hAnsi="Times New Roman" w:eastAsia="仿宋_GB2312" w:cs="Times New Roman"/>
          <w:sz w:val="32"/>
          <w:szCs w:val="32"/>
        </w:rPr>
        <w:t>；二是</w:t>
      </w:r>
      <w:r>
        <w:rPr>
          <w:rFonts w:hint="eastAsia" w:ascii="Times New Roman" w:hAnsi="Times New Roman" w:eastAsia="仿宋_GB2312" w:cs="Times New Roman"/>
          <w:sz w:val="32"/>
          <w:szCs w:val="32"/>
        </w:rPr>
        <w:t>在编制年初预算时，根据年度重点工作计划，综合考虑各方面因素，科学编制相关项目预算支出金额</w:t>
      </w:r>
      <w:r>
        <w:rPr>
          <w:rFonts w:hint="eastAsia" w:ascii="Times New Roman" w:hAnsi="Times New Roman" w:eastAsia="仿宋_GB2312" w:cs="Times New Roman"/>
          <w:sz w:val="32"/>
          <w:szCs w:val="32"/>
          <w:lang w:eastAsia="zh-CN"/>
        </w:rPr>
        <w:t>；三是加强行政单位新会计制度和新预算法的学习培训，落实预算执行分析，及时了解预算执行差异，合理调整、纠正预算执行偏差，切实提高部门预算收支管理水平。</w:t>
      </w:r>
    </w:p>
    <w:p>
      <w:pPr>
        <w:overflowPunct w:val="0"/>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color w:val="auto"/>
          <w:kern w:val="0"/>
          <w:sz w:val="32"/>
          <w:szCs w:val="32"/>
          <w:lang w:val="en-US" w:eastAsia="zh-CN"/>
        </w:rPr>
        <w:t>本单位为二级预算单位，部门评价结果可详见上级部门决算公开说明。</w:t>
      </w:r>
    </w:p>
    <w:p>
      <w:pPr>
        <w:overflowPunct w:val="0"/>
        <w:spacing w:line="600" w:lineRule="exact"/>
        <w:ind w:firstLine="640" w:firstLineChars="200"/>
        <w:rPr>
          <w:rFonts w:hint="eastAsia" w:ascii="Times New Roman" w:hAnsi="Times New Roman" w:eastAsia="仿宋_GB2312"/>
          <w:color w:val="FF0000"/>
          <w:sz w:val="32"/>
          <w:szCs w:val="32"/>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color w:val="auto"/>
          <w:kern w:val="0"/>
          <w:sz w:val="32"/>
          <w:szCs w:val="32"/>
          <w:lang w:val="en-US" w:eastAsia="zh-CN"/>
        </w:rPr>
        <w:t>本单位为二级预算单位，事前绩效评估结果可详见上级部门决算公开说明。</w:t>
      </w:r>
    </w:p>
    <w:p>
      <w:pPr>
        <w:numPr>
          <w:ilvl w:val="0"/>
          <w:numId w:val="2"/>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pPr>
        <w:numPr>
          <w:ilvl w:val="0"/>
          <w:numId w:val="0"/>
        </w:numPr>
        <w:autoSpaceDE w:val="0"/>
        <w:autoSpaceDN w:val="0"/>
        <w:adjustRightInd w:val="0"/>
        <w:ind w:firstLine="640" w:firstLineChars="200"/>
        <w:jc w:val="left"/>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通过绩效自评，进一步掌握了资金使用情况和取得的效果，总结了专项资金管理经验，为完善</w:t>
      </w:r>
      <w:r>
        <w:rPr>
          <w:rFonts w:hint="eastAsia" w:ascii="Times New Roman" w:hAnsi="Times New Roman" w:eastAsia="仿宋_GB2312" w:cs="Times New Roman"/>
          <w:color w:val="auto"/>
          <w:sz w:val="32"/>
          <w:szCs w:val="32"/>
          <w:highlight w:val="none"/>
          <w:lang w:val="en-US" w:eastAsia="zh-CN"/>
        </w:rPr>
        <w:t>2025年度</w:t>
      </w:r>
      <w:r>
        <w:rPr>
          <w:rFonts w:hint="eastAsia" w:ascii="Times New Roman" w:hAnsi="Times New Roman" w:eastAsia="仿宋_GB2312" w:cs="Times New Roman"/>
          <w:color w:val="auto"/>
          <w:sz w:val="32"/>
          <w:szCs w:val="32"/>
          <w:highlight w:val="none"/>
        </w:rPr>
        <w:t>年初预算编制、加强资金使用管理、健全资金支出项目、提高资金绩效管理、加大资金使用效益工作提供了重要的参考依据</w:t>
      </w:r>
      <w:r>
        <w:rPr>
          <w:rFonts w:ascii="Times New Roman" w:hAnsi="Times New Roman" w:eastAsia="仿宋_GB2312" w:cs="Times New Roman"/>
          <w:color w:val="auto"/>
          <w:sz w:val="32"/>
          <w:szCs w:val="32"/>
          <w:highlight w:val="none"/>
        </w:rPr>
        <w:t>。</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2"/>
        <w:rPr>
          <w:rFonts w:hint="eastAsia"/>
          <w:lang w:val="en-US" w:eastAsia="zh-CN"/>
        </w:rPr>
      </w:pPr>
    </w:p>
    <w:p>
      <w:pPr>
        <w:pStyle w:val="12"/>
        <w:jc w:val="both"/>
        <w:rPr>
          <w:rFonts w:hint="eastAsia" w:ascii="方正小标宋_GBK" w:hAnsi="方正小标宋_GBK" w:eastAsia="方正小标宋_GBK" w:cs="方正小标宋_GBK"/>
          <w:sz w:val="24"/>
          <w:szCs w:val="24"/>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pStyle w:val="2"/>
        <w:rPr>
          <w:rFonts w:hint="eastAsia"/>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pStyle w:val="12"/>
        <w:jc w:val="center"/>
        <w:rPr>
          <w:rFonts w:hint="eastAsia" w:ascii="仿宋_GB2312" w:hAnsi="仿宋_GB2312" w:eastAsia="仿宋_GB2312" w:cs="仿宋_GB2312"/>
          <w:sz w:val="32"/>
          <w:szCs w:val="32"/>
        </w:rPr>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
      <w:pPr>
        <w:pStyle w:val="2"/>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1944E2C"/>
    <w:rsid w:val="12583BA5"/>
    <w:rsid w:val="13BA5B9C"/>
    <w:rsid w:val="1D97DEFF"/>
    <w:rsid w:val="1D9D6E47"/>
    <w:rsid w:val="1DFF72E5"/>
    <w:rsid w:val="1EFC6F07"/>
    <w:rsid w:val="1F0527A6"/>
    <w:rsid w:val="22AC03C2"/>
    <w:rsid w:val="283B15FE"/>
    <w:rsid w:val="2FDF85B8"/>
    <w:rsid w:val="2FFFEE04"/>
    <w:rsid w:val="31C95635"/>
    <w:rsid w:val="34DF85B0"/>
    <w:rsid w:val="3B8F36BC"/>
    <w:rsid w:val="3CADEEB3"/>
    <w:rsid w:val="3FBF738D"/>
    <w:rsid w:val="43EB5BA5"/>
    <w:rsid w:val="491FF225"/>
    <w:rsid w:val="4DFF952C"/>
    <w:rsid w:val="4EC310A1"/>
    <w:rsid w:val="4FFD214C"/>
    <w:rsid w:val="5352765A"/>
    <w:rsid w:val="5777D4F5"/>
    <w:rsid w:val="57F22B6F"/>
    <w:rsid w:val="59DD8326"/>
    <w:rsid w:val="5DEF592A"/>
    <w:rsid w:val="5FC6BB1E"/>
    <w:rsid w:val="5FF720F1"/>
    <w:rsid w:val="5FFD3F97"/>
    <w:rsid w:val="622964C1"/>
    <w:rsid w:val="67FF5C0B"/>
    <w:rsid w:val="6A7A1D39"/>
    <w:rsid w:val="6BAA4A2F"/>
    <w:rsid w:val="6BF8EB3E"/>
    <w:rsid w:val="6DDEC5C0"/>
    <w:rsid w:val="6E7E4478"/>
    <w:rsid w:val="6EBE234F"/>
    <w:rsid w:val="6EFC0924"/>
    <w:rsid w:val="6FB74722"/>
    <w:rsid w:val="6FEF8B7E"/>
    <w:rsid w:val="717FE77F"/>
    <w:rsid w:val="71A6591B"/>
    <w:rsid w:val="72E775CC"/>
    <w:rsid w:val="737D59BA"/>
    <w:rsid w:val="737F32B1"/>
    <w:rsid w:val="73BD3FCA"/>
    <w:rsid w:val="776BDA01"/>
    <w:rsid w:val="777E3E4F"/>
    <w:rsid w:val="77C37683"/>
    <w:rsid w:val="79FF515B"/>
    <w:rsid w:val="7BAF5748"/>
    <w:rsid w:val="7D8BC090"/>
    <w:rsid w:val="7DC1126F"/>
    <w:rsid w:val="7DFBFF20"/>
    <w:rsid w:val="7E8B0C48"/>
    <w:rsid w:val="7E9E1962"/>
    <w:rsid w:val="7E9F11B4"/>
    <w:rsid w:val="7F37EC1E"/>
    <w:rsid w:val="7F7BB130"/>
    <w:rsid w:val="7F7C0DDA"/>
    <w:rsid w:val="7F7DCD9D"/>
    <w:rsid w:val="7F7F6D49"/>
    <w:rsid w:val="7F970A6F"/>
    <w:rsid w:val="7FC1FFF3"/>
    <w:rsid w:val="7FC69637"/>
    <w:rsid w:val="7FDF8620"/>
    <w:rsid w:val="7FFB0D09"/>
    <w:rsid w:val="7FFB242F"/>
    <w:rsid w:val="7FFDB408"/>
    <w:rsid w:val="7FFE4EEB"/>
    <w:rsid w:val="95FB2B98"/>
    <w:rsid w:val="9A639BC2"/>
    <w:rsid w:val="9FF7D786"/>
    <w:rsid w:val="9FFF9AD0"/>
    <w:rsid w:val="ABBFB23D"/>
    <w:rsid w:val="B6BE5A03"/>
    <w:rsid w:val="B75CEBCC"/>
    <w:rsid w:val="B8C93228"/>
    <w:rsid w:val="BBCBCEAD"/>
    <w:rsid w:val="BEF33AEC"/>
    <w:rsid w:val="BF754F00"/>
    <w:rsid w:val="BFE7BC30"/>
    <w:rsid w:val="BFFEAA13"/>
    <w:rsid w:val="C3B4DA5A"/>
    <w:rsid w:val="C4FF458C"/>
    <w:rsid w:val="C5FE24C9"/>
    <w:rsid w:val="C7BBD038"/>
    <w:rsid w:val="CBFF70E0"/>
    <w:rsid w:val="CFF50B82"/>
    <w:rsid w:val="CFFFAD89"/>
    <w:rsid w:val="DF873361"/>
    <w:rsid w:val="DFFE359E"/>
    <w:rsid w:val="DFFE4FFD"/>
    <w:rsid w:val="DFFF5403"/>
    <w:rsid w:val="E9BF7E4E"/>
    <w:rsid w:val="EBC3E00A"/>
    <w:rsid w:val="EDABD6CC"/>
    <w:rsid w:val="EDFBE100"/>
    <w:rsid w:val="EE77920F"/>
    <w:rsid w:val="EEABED75"/>
    <w:rsid w:val="EF7E8003"/>
    <w:rsid w:val="EFBFD109"/>
    <w:rsid w:val="F56FDF51"/>
    <w:rsid w:val="F5F3EE78"/>
    <w:rsid w:val="F6B69F17"/>
    <w:rsid w:val="F6E5BB3A"/>
    <w:rsid w:val="F73F771B"/>
    <w:rsid w:val="F77F1D61"/>
    <w:rsid w:val="F7FED3A9"/>
    <w:rsid w:val="F8C9DB26"/>
    <w:rsid w:val="F97E8EAE"/>
    <w:rsid w:val="FB36E1A6"/>
    <w:rsid w:val="FB3BE134"/>
    <w:rsid w:val="FCFF4275"/>
    <w:rsid w:val="FD7FEEEA"/>
    <w:rsid w:val="FDFD5D7B"/>
    <w:rsid w:val="FDFFB577"/>
    <w:rsid w:val="FED63515"/>
    <w:rsid w:val="FEEA50FE"/>
    <w:rsid w:val="FF7D47A9"/>
    <w:rsid w:val="FFCF21CB"/>
    <w:rsid w:val="FFEDA7E9"/>
    <w:rsid w:val="FFF94102"/>
    <w:rsid w:val="FFFC404B"/>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1347</Words>
  <Characters>7679</Characters>
  <Lines>63</Lines>
  <Paragraphs>18</Paragraphs>
  <TotalTime>50</TotalTime>
  <ScaleCrop>false</ScaleCrop>
  <LinksUpToDate>false</LinksUpToDate>
  <CharactersWithSpaces>9008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2020-07-12T18:32:00Z</dcterms:created>
  <dc:creator>李航 null</dc:creator>
  <cp:lastModifiedBy>yyadmin</cp:lastModifiedBy>
  <cp:lastPrinted>2024-08-13T02:20:00Z</cp:lastPrinted>
  <dcterms:modified xsi:type="dcterms:W3CDTF">2025-09-26T11:26:15Z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98623D6660B449428EB8E073C6C952EA</vt:lpwstr>
  </property>
</Properties>
</file>