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eastAsia="方正小标宋简体"/>
          <w:bCs/>
          <w:sz w:val="46"/>
          <w:szCs w:val="46"/>
        </w:rPr>
      </w:pPr>
      <w:r>
        <w:rPr>
          <w:rFonts w:hint="eastAsia" w:eastAsia="方正小标宋简体"/>
          <w:bCs/>
          <w:sz w:val="46"/>
          <w:szCs w:val="46"/>
        </w:rPr>
        <w:t>岳阳市202</w:t>
      </w:r>
      <w:r>
        <w:rPr>
          <w:rFonts w:hint="eastAsia" w:eastAsia="方正小标宋简体"/>
          <w:bCs/>
          <w:sz w:val="46"/>
          <w:szCs w:val="46"/>
          <w:lang w:val="en-US" w:eastAsia="zh-CN"/>
        </w:rPr>
        <w:t>3</w:t>
      </w:r>
      <w:r>
        <w:rPr>
          <w:rFonts w:hint="eastAsia" w:eastAsia="方正小标宋简体"/>
          <w:bCs/>
          <w:sz w:val="46"/>
          <w:szCs w:val="46"/>
        </w:rPr>
        <w:t>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6" w:firstLineChars="150"/>
        <w:rPr>
          <w:rFonts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w:t>
      </w:r>
      <w:r>
        <w:rPr>
          <w:rFonts w:hint="eastAsia" w:eastAsia="仿宋_GB2312"/>
          <w:sz w:val="32"/>
          <w:szCs w:val="32"/>
          <w:u w:val="single"/>
          <w:lang w:eastAsia="zh-CN"/>
        </w:rPr>
        <w:t>岳阳电视转播台</w:t>
      </w:r>
      <w:r>
        <w:rPr>
          <w:rFonts w:hint="eastAsia" w:eastAsia="仿宋_GB2312"/>
          <w:sz w:val="32"/>
          <w:szCs w:val="32"/>
          <w:u w:val="single"/>
        </w:rPr>
        <w:t xml:space="preserve">                   </w:t>
      </w:r>
    </w:p>
    <w:p>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w:t>
      </w:r>
      <w:r>
        <w:rPr>
          <w:rFonts w:hint="eastAsia" w:eastAsia="仿宋_GB2312"/>
          <w:spacing w:val="20"/>
          <w:sz w:val="32"/>
          <w:szCs w:val="32"/>
          <w:u w:val="single"/>
          <w:lang w:eastAsia="zh-CN"/>
        </w:rPr>
        <w:t>504002</w:t>
      </w:r>
      <w:r>
        <w:rPr>
          <w:rFonts w:hint="eastAsia" w:eastAsia="仿宋_GB2312"/>
          <w:spacing w:val="20"/>
          <w:sz w:val="32"/>
          <w:szCs w:val="32"/>
          <w:u w:val="single"/>
        </w:rPr>
        <w:t xml:space="preserve">           </w:t>
      </w:r>
    </w:p>
    <w:p>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6"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720" w:lineRule="exact"/>
        <w:ind w:firstLine="2188" w:firstLineChars="690"/>
        <w:rPr>
          <w:rFonts w:eastAsia="仿宋_GB2312"/>
          <w:sz w:val="32"/>
        </w:rPr>
      </w:pPr>
    </w:p>
    <w:p>
      <w:pPr>
        <w:spacing w:line="348" w:lineRule="auto"/>
        <w:jc w:val="center"/>
        <w:rPr>
          <w:rFonts w:eastAsia="仿宋_GB2312"/>
          <w:sz w:val="32"/>
        </w:rPr>
      </w:pPr>
      <w:r>
        <w:rPr>
          <w:rFonts w:hint="eastAsia" w:eastAsia="仿宋_GB2312"/>
          <w:sz w:val="32"/>
        </w:rPr>
        <w:t>报告日期：</w:t>
      </w:r>
      <w:r>
        <w:rPr>
          <w:rFonts w:hint="eastAsia" w:eastAsia="仿宋_GB2312"/>
          <w:sz w:val="32"/>
          <w:lang w:val="en-US" w:eastAsia="zh-CN"/>
        </w:rPr>
        <w:t xml:space="preserve"> </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autoSpaceDN w:val="0"/>
        <w:jc w:val="center"/>
        <w:textAlignment w:val="center"/>
        <w:rPr>
          <w:rFonts w:eastAsia="仿宋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5"/>
        <w:tblW w:w="99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80"/>
        <w:gridCol w:w="116"/>
        <w:gridCol w:w="1127"/>
        <w:gridCol w:w="477"/>
        <w:gridCol w:w="139"/>
        <w:gridCol w:w="284"/>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陈婧</w:t>
            </w:r>
          </w:p>
        </w:tc>
        <w:tc>
          <w:tcPr>
            <w:tcW w:w="1479" w:type="dxa"/>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274"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8756900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w:t>
            </w:r>
          </w:p>
        </w:tc>
        <w:tc>
          <w:tcPr>
            <w:tcW w:w="1479" w:type="dxa"/>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274" w:type="dxa"/>
            <w:gridSpan w:val="8"/>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314" w:type="dxa"/>
            <w:gridSpan w:val="1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szCs w:val="24"/>
                <w:lang w:val="en-US" w:eastAsia="zh-CN" w:bidi="ar-SA"/>
              </w:rPr>
              <w:t>岳阳电视转播台是公益一类全额拨款副处级事业单位，主要职责是：承担中央电视台、省电视台和岳阳电视台在本地区的转播发射工作；承担中央、省、市11个频率的立体声调频广播的转播发射工作；承担湘北及湘西地区的微波传输任务；承担手机电视等媒体转播发射工作；负责岳阳市金鹗山、汨罗市达摩岭两个发射基地的日常管理、技术维护和安全保卫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314" w:type="dxa"/>
            <w:gridSpan w:val="15"/>
            <w:noWrap w:val="0"/>
            <w:vAlign w:val="center"/>
          </w:tcPr>
          <w:p>
            <w:pPr>
              <w:pStyle w:val="4"/>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任务1：强化责任担当，认真落实</w:t>
            </w:r>
            <w:r>
              <w:rPr>
                <w:rFonts w:hint="eastAsia" w:ascii="仿宋_GB2312" w:hAnsi="仿宋_GB2312" w:eastAsia="仿宋_GB2312" w:cs="仿宋_GB2312"/>
                <w:color w:val="000000"/>
                <w:sz w:val="24"/>
                <w:lang w:eastAsia="zh-CN"/>
              </w:rPr>
              <w:t>安全播出</w:t>
            </w:r>
            <w:r>
              <w:rPr>
                <w:rFonts w:hint="eastAsia" w:ascii="仿宋_GB2312" w:hAnsi="仿宋_GB2312" w:eastAsia="仿宋_GB2312" w:cs="仿宋_GB2312"/>
                <w:color w:val="000000"/>
                <w:sz w:val="24"/>
              </w:rPr>
              <w:t>工作</w:t>
            </w:r>
          </w:p>
          <w:p>
            <w:pPr>
              <w:pStyle w:val="4"/>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任务2：提高政治站位，切实抓好基层党建工作</w:t>
            </w:r>
          </w:p>
          <w:p>
            <w:pPr>
              <w:pStyle w:val="4"/>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任务3：牢记初心使命，全面保障安全优质播出</w:t>
            </w:r>
          </w:p>
          <w:p>
            <w:pPr>
              <w:pStyle w:val="4"/>
              <w:spacing w:before="45" w:beforeAutospacing="0" w:after="45" w:afterAutospacing="0" w:line="540" w:lineRule="exact"/>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任务</w:t>
            </w: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rPr>
              <w:t>完善内部管理，构建和谐文明单位</w:t>
            </w:r>
          </w:p>
          <w:p>
            <w:pPr>
              <w:autoSpaceDN w:val="0"/>
              <w:spacing w:line="320" w:lineRule="exact"/>
              <w:jc w:val="left"/>
              <w:textAlignment w:val="center"/>
              <w:rPr>
                <w:rFonts w:hint="default" w:ascii="仿宋_GB2312" w:hAnsi="仿宋_GB2312" w:eastAsia="仿宋_GB2312" w:cs="仿宋_GB2312"/>
                <w:color w:val="000000"/>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314" w:type="dxa"/>
            <w:gridSpan w:val="1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szCs w:val="24"/>
                <w:lang w:val="en-US" w:eastAsia="zh-CN" w:bidi="ar-SA"/>
              </w:rPr>
              <w:t>2023年，我台坚持以习近平新时代中国特色社会主义思想为指导，增强“四个意识”、坚定“四个自信”、做到“两个维护”，认真落实市委、市政府决策部署以及市台的各项工作安排，牢固树立 “安全优质播出，不断创新发展”的工作思路，凝聚全台力量，积极创先争优，认真完成全年各项任务。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188" w:type="dxa"/>
            <w:gridSpan w:val="13"/>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248"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1135.97</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1028.29</w:t>
            </w: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c>
          <w:tcPr>
            <w:tcW w:w="1248"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1135.97</w:t>
            </w:r>
          </w:p>
        </w:tc>
        <w:tc>
          <w:tcPr>
            <w:tcW w:w="1355" w:type="dxa"/>
            <w:gridSpan w:val="2"/>
            <w:tcBorders>
              <w:left w:val="single" w:color="auto" w:sz="4" w:space="0"/>
            </w:tcBorders>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1080" w:type="dxa"/>
            <w:gridSpan w:val="2"/>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1028.29</w:t>
            </w: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kern w:val="2"/>
                <w:sz w:val="24"/>
                <w:szCs w:val="24"/>
                <w:lang w:val="en-US" w:eastAsia="zh-CN" w:bidi="ar-SA"/>
              </w:rPr>
            </w:pPr>
          </w:p>
        </w:tc>
        <w:tc>
          <w:tcPr>
            <w:tcW w:w="1800" w:type="dxa"/>
            <w:gridSpan w:val="4"/>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p>
        </w:tc>
        <w:tc>
          <w:tcPr>
            <w:tcW w:w="1248" w:type="dxa"/>
            <w:gridSpan w:val="3"/>
            <w:noWrap w:val="0"/>
            <w:vAlign w:val="center"/>
          </w:tcPr>
          <w:p>
            <w:pPr>
              <w:autoSpaceDN w:val="0"/>
              <w:spacing w:line="320" w:lineRule="exact"/>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107.69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8" w:type="dxa"/>
            <w:gridSpan w:val="3"/>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8" w:type="dxa"/>
            <w:gridSpan w:val="3"/>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63"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72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865" w:type="dxa"/>
            <w:gridSpan w:val="5"/>
            <w:tcBorders>
              <w:top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243" w:type="dxa"/>
            <w:gridSpan w:val="2"/>
            <w:vMerge w:val="restart"/>
            <w:tcBorders>
              <w:top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90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243" w:type="dxa"/>
            <w:gridSpan w:val="2"/>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vMerge w:val="continue"/>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1135.97</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958.36</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840.88</w:t>
            </w:r>
          </w:p>
        </w:tc>
        <w:tc>
          <w:tcPr>
            <w:tcW w:w="1785"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117.48</w:t>
            </w:r>
          </w:p>
        </w:tc>
        <w:tc>
          <w:tcPr>
            <w:tcW w:w="1243"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177.61</w:t>
            </w:r>
          </w:p>
        </w:tc>
        <w:tc>
          <w:tcPr>
            <w:tcW w:w="90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8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135.97</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958.37</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840.88</w:t>
            </w:r>
          </w:p>
        </w:tc>
        <w:tc>
          <w:tcPr>
            <w:tcW w:w="1785" w:type="dxa"/>
            <w:gridSpan w:val="3"/>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117.48</w:t>
            </w:r>
          </w:p>
        </w:tc>
        <w:tc>
          <w:tcPr>
            <w:tcW w:w="1243"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177.61</w:t>
            </w:r>
          </w:p>
        </w:tc>
        <w:tc>
          <w:tcPr>
            <w:tcW w:w="900" w:type="dxa"/>
            <w:gridSpan w:val="3"/>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c>
          <w:tcPr>
            <w:tcW w:w="825" w:type="dxa"/>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kern w:val="2"/>
                <w:sz w:val="24"/>
                <w:szCs w:val="24"/>
                <w:lang w:val="en-US" w:eastAsia="zh-CN"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04" w:hRule="atLeast"/>
          <w:jc w:val="center"/>
        </w:trPr>
        <w:tc>
          <w:tcPr>
            <w:tcW w:w="1700" w:type="dxa"/>
            <w:gridSpan w:val="3"/>
            <w:noWrap w:val="0"/>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3"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0" w:type="dxa"/>
            <w:gridSpan w:val="3"/>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243"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00" w:type="dxa"/>
            <w:gridSpan w:val="3"/>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825" w:type="dxa"/>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188" w:type="dxa"/>
            <w:gridSpan w:val="13"/>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3.55</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2.34</w:t>
            </w:r>
          </w:p>
        </w:tc>
        <w:tc>
          <w:tcPr>
            <w:tcW w:w="178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968"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3.55</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1.21</w:t>
            </w:r>
          </w:p>
        </w:tc>
        <w:tc>
          <w:tcPr>
            <w:tcW w:w="1080"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2.34</w:t>
            </w:r>
          </w:p>
        </w:tc>
        <w:tc>
          <w:tcPr>
            <w:tcW w:w="1785" w:type="dxa"/>
            <w:gridSpan w:val="3"/>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968" w:type="dxa"/>
            <w:gridSpan w:val="6"/>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785" w:type="dxa"/>
            <w:gridSpan w:val="3"/>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968"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09" w:type="dxa"/>
            <w:gridSpan w:val="2"/>
            <w:vMerge w:val="restart"/>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1109" w:type="dxa"/>
            <w:gridSpan w:val="2"/>
            <w:vMerge w:val="continue"/>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pPr>
              <w:autoSpaceDN w:val="0"/>
              <w:spacing w:line="320" w:lineRule="exact"/>
              <w:jc w:val="both"/>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1807.53</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1807.53</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109" w:type="dxa"/>
            <w:gridSpan w:val="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1807.53</w:t>
            </w:r>
          </w:p>
        </w:tc>
        <w:tc>
          <w:tcPr>
            <w:tcW w:w="2435" w:type="dxa"/>
            <w:gridSpan w:val="4"/>
            <w:tcBorders>
              <w:left w:val="single" w:color="auto" w:sz="4" w:space="0"/>
            </w:tcBorders>
            <w:noWrap w:val="0"/>
            <w:vAlign w:val="center"/>
          </w:tcPr>
          <w:p>
            <w:pPr>
              <w:autoSpaceDN w:val="0"/>
              <w:spacing w:line="320" w:lineRule="exact"/>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1807.53</w:t>
            </w:r>
          </w:p>
        </w:tc>
        <w:tc>
          <w:tcPr>
            <w:tcW w:w="3644" w:type="dxa"/>
            <w:gridSpan w:val="7"/>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1109" w:type="dxa"/>
            <w:gridSpan w:val="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109"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753" w:type="dxa"/>
            <w:gridSpan w:val="9"/>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3774" w:type="dxa"/>
            <w:gridSpan w:val="7"/>
            <w:noWrap w:val="0"/>
            <w:vAlign w:val="center"/>
          </w:tcPr>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1、继续确保重大节日、重要节目特护期及日常的广播电视安全优质播出。</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2、进一步争取中央及省、市财政专项经费，推进金鹗山的铁塔、机房建设，对技术设备进行改造、升级。</w:t>
            </w:r>
          </w:p>
          <w:p>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3、按照省局要求完成中央广播电视节目无线数字化覆盖工程设备运行测试。</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4、继续加强学习型单位建设，开展技术比武，岗位练兵。</w:t>
            </w:r>
          </w:p>
        </w:tc>
        <w:tc>
          <w:tcPr>
            <w:tcW w:w="4753" w:type="dxa"/>
            <w:gridSpan w:val="9"/>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1、保障了安全优质播出。</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2.完成了金鹗山铁塔与机房的建设升级改造。</w:t>
            </w:r>
          </w:p>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3、完成了无线覆盖工程的设备测试</w:t>
            </w:r>
          </w:p>
          <w:p>
            <w:pPr>
              <w:autoSpaceDN w:val="0"/>
              <w:spacing w:line="320" w:lineRule="exact"/>
              <w:jc w:val="center"/>
              <w:textAlignment w:val="center"/>
              <w:rPr>
                <w:rFonts w:hint="default" w:ascii="仿宋_GB2312" w:hAnsi="仿宋_GB2312" w:eastAsia="仿宋_GB2312" w:cs="仿宋_GB2312"/>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5"/>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default" w:ascii="仿宋_GB2312" w:hAnsi="仿宋_GB2312" w:eastAsia="仿宋_GB2312" w:cs="仿宋_GB2312"/>
                <w:color w:val="000000"/>
                <w:sz w:val="24"/>
                <w:lang w:val="en-US" w:eastAsia="zh-CN"/>
              </w:rPr>
              <w:t>保障5套模拟电视、7套调频广播节目的高质播出</w:t>
            </w:r>
          </w:p>
        </w:tc>
        <w:tc>
          <w:tcPr>
            <w:tcW w:w="2852" w:type="dxa"/>
            <w:gridSpan w:val="5"/>
            <w:noWrap w:val="0"/>
            <w:vAlign w:val="center"/>
          </w:tcPr>
          <w:p>
            <w:pPr>
              <w:autoSpaceDN w:val="0"/>
              <w:spacing w:line="320" w:lineRule="exact"/>
              <w:jc w:val="center"/>
              <w:textAlignment w:val="center"/>
              <w:rPr>
                <w:rFonts w:hint="eastAsia" w:ascii="仿宋_GB2312" w:hAnsi="仿宋_GB2312" w:eastAsia="仿宋_GB2312" w:cs="仿宋_GB2312"/>
                <w:b/>
                <w:color w:val="000000"/>
                <w:sz w:val="24"/>
                <w:lang w:eastAsia="zh-CN"/>
              </w:rPr>
            </w:pPr>
            <w:r>
              <w:rPr>
                <w:rFonts w:hint="eastAsia" w:ascii="仿宋_GB2312" w:hAnsi="仿宋_GB2312" w:eastAsia="仿宋_GB2312" w:cs="仿宋_GB2312"/>
                <w:b/>
                <w:color w:val="000000"/>
                <w:sz w:val="24"/>
                <w:lang w:eastAsia="zh-CN"/>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spacing w:line="320" w:lineRule="exact"/>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完成2个铁塔以及机器设备的维修</w:t>
            </w: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维修后合格率100%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节约成本，提高效率</w:t>
            </w:r>
          </w:p>
        </w:tc>
        <w:tc>
          <w:tcPr>
            <w:tcW w:w="2852" w:type="dxa"/>
            <w:gridSpan w:val="5"/>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节约了成本，未超出预算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vMerge w:val="continue"/>
            <w:noWrap w:val="0"/>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ascii="仿宋_GB2312" w:hAnsi="仿宋_GB2312" w:eastAsia="仿宋_GB2312" w:cs="仿宋_GB2312"/>
                <w:b w:val="0"/>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restart"/>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保障岳阳、长株潭等地的无线覆盖</w:t>
            </w: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val="en-US" w:eastAsia="zh-CN"/>
              </w:rPr>
              <w:t>100%覆盖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可持续影响</w:t>
            </w: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传播党的方针、路线、政策等</w:t>
            </w:r>
          </w:p>
        </w:tc>
        <w:tc>
          <w:tcPr>
            <w:tcW w:w="2852" w:type="dxa"/>
            <w:gridSpan w:val="5"/>
            <w:noWrap w:val="0"/>
            <w:vAlign w:val="center"/>
          </w:tcPr>
          <w:p>
            <w:pPr>
              <w:autoSpaceDN w:val="0"/>
              <w:spacing w:line="320" w:lineRule="exact"/>
              <w:jc w:val="center"/>
              <w:textAlignment w:val="center"/>
              <w:rPr>
                <w:rFonts w:hint="eastAsia" w:ascii="仿宋_GB2312" w:hAnsi="仿宋_GB2312" w:eastAsia="仿宋_GB2312" w:cs="仿宋_GB2312"/>
                <w:b w:val="0"/>
                <w:bCs/>
                <w:color w:val="000000"/>
                <w:sz w:val="24"/>
                <w:lang w:eastAsia="zh-CN"/>
              </w:rPr>
            </w:pPr>
            <w:r>
              <w:rPr>
                <w:rFonts w:hint="eastAsia" w:ascii="仿宋_GB2312" w:hAnsi="仿宋_GB2312" w:eastAsia="仿宋_GB2312" w:cs="仿宋_GB2312"/>
                <w:b w:val="0"/>
                <w:bCs/>
                <w:color w:val="000000"/>
                <w:sz w:val="24"/>
                <w:lang w:eastAsia="zh-CN"/>
              </w:rPr>
              <w:t>达到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5"/>
            <w:noWrap w:val="0"/>
            <w:vAlign w:val="center"/>
          </w:tcPr>
          <w:p>
            <w:pPr>
              <w:bidi w:val="0"/>
              <w:jc w:val="both"/>
              <w:rPr>
                <w:lang w:val="en-US" w:eastAsia="zh-CN"/>
              </w:rPr>
            </w:pPr>
            <w:r>
              <w:rPr>
                <w:rFonts w:hint="eastAsia"/>
                <w:lang w:val="en-US" w:eastAsia="zh-CN"/>
              </w:rPr>
              <w:t>我台转播工作得到社会公众的认可</w:t>
            </w: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r>
              <w:rPr>
                <w:rFonts w:hint="eastAsia" w:ascii="仿宋_GB2312" w:hAnsi="仿宋_GB2312" w:eastAsia="仿宋_GB2312" w:cs="仿宋_GB2312"/>
                <w:b w:val="0"/>
                <w:bCs/>
                <w:color w:val="000000"/>
                <w:sz w:val="24"/>
                <w:lang w:eastAsia="zh-CN"/>
              </w:rPr>
              <w:t>群众满意</w:t>
            </w:r>
            <w:r>
              <w:rPr>
                <w:rFonts w:hint="eastAsia" w:ascii="仿宋_GB2312" w:hAnsi="仿宋_GB2312" w:eastAsia="仿宋_GB2312" w:cs="仿宋_GB2312"/>
                <w:b w:val="0"/>
                <w:bCs/>
                <w:color w:val="000000"/>
                <w:sz w:val="24"/>
                <w:lang w:val="en-US" w:eastAsia="zh-CN"/>
              </w:rPr>
              <w:t>90%以上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pPr>
              <w:spacing w:line="320" w:lineRule="exact"/>
              <w:rPr>
                <w:rFonts w:ascii="仿宋_GB2312" w:hAnsi="仿宋_GB2312" w:eastAsia="仿宋_GB2312" w:cs="仿宋_GB2312"/>
                <w:sz w:val="24"/>
              </w:rPr>
            </w:pPr>
          </w:p>
        </w:tc>
        <w:tc>
          <w:tcPr>
            <w:tcW w:w="1549" w:type="dxa"/>
            <w:gridSpan w:val="4"/>
            <w:vMerge w:val="continue"/>
            <w:noWrap w:val="0"/>
            <w:vAlign w:val="center"/>
          </w:tcPr>
          <w:p>
            <w:pPr>
              <w:autoSpaceDN w:val="0"/>
              <w:spacing w:line="320" w:lineRule="exact"/>
              <w:rPr>
                <w:rFonts w:ascii="仿宋_GB2312" w:hAnsi="仿宋_GB2312" w:eastAsia="仿宋_GB2312" w:cs="仿宋_GB2312"/>
                <w:sz w:val="24"/>
              </w:rPr>
            </w:pPr>
          </w:p>
        </w:tc>
        <w:tc>
          <w:tcPr>
            <w:tcW w:w="1417"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709" w:type="dxa"/>
            <w:gridSpan w:val="5"/>
            <w:noWrap w:val="0"/>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2852" w:type="dxa"/>
            <w:gridSpan w:val="5"/>
            <w:noWrap w:val="0"/>
            <w:vAlign w:val="center"/>
          </w:tcPr>
          <w:p>
            <w:pPr>
              <w:autoSpaceDN w:val="0"/>
              <w:spacing w:line="320" w:lineRule="exact"/>
              <w:jc w:val="center"/>
              <w:textAlignment w:val="center"/>
              <w:rPr>
                <w:rFonts w:hint="default" w:ascii="仿宋_GB2312" w:hAnsi="仿宋_GB2312" w:eastAsia="仿宋_GB2312" w:cs="仿宋_GB2312"/>
                <w:b w:val="0"/>
                <w:bCs/>
                <w:color w:val="000000"/>
                <w:sz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978" w:type="dxa"/>
            <w:gridSpan w:val="12"/>
            <w:noWrap w:val="0"/>
            <w:vAlign w:val="center"/>
          </w:tcPr>
          <w:p>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978" w:type="dxa"/>
            <w:gridSpan w:val="12"/>
            <w:noWrap w:val="0"/>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968" w:type="dxa"/>
            <w:gridSpan w:val="17"/>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刘毅然</w:t>
            </w:r>
          </w:p>
        </w:tc>
        <w:tc>
          <w:tcPr>
            <w:tcW w:w="3561" w:type="dxa"/>
            <w:gridSpan w:val="6"/>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副台长</w:t>
            </w:r>
          </w:p>
        </w:tc>
        <w:tc>
          <w:tcPr>
            <w:tcW w:w="1479" w:type="dxa"/>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rPr>
                <w:rFonts w:hint="eastAsia"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李毅</w:t>
            </w:r>
          </w:p>
        </w:tc>
        <w:tc>
          <w:tcPr>
            <w:tcW w:w="3561" w:type="dxa"/>
            <w:gridSpan w:val="6"/>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sz w:val="24"/>
              </w:rPr>
              <w:t>办公室主任</w:t>
            </w:r>
          </w:p>
        </w:tc>
        <w:tc>
          <w:tcPr>
            <w:tcW w:w="1479" w:type="dxa"/>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陈婧</w:t>
            </w:r>
          </w:p>
        </w:tc>
        <w:tc>
          <w:tcPr>
            <w:tcW w:w="3561" w:type="dxa"/>
            <w:gridSpan w:val="6"/>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sz w:val="24"/>
              </w:rPr>
              <w:t>会计</w:t>
            </w:r>
          </w:p>
        </w:tc>
        <w:tc>
          <w:tcPr>
            <w:tcW w:w="1479" w:type="dxa"/>
            <w:noWrap w:val="0"/>
            <w:vAlign w:val="center"/>
          </w:tcPr>
          <w:p>
            <w:pPr>
              <w:rPr>
                <w:rFonts w:ascii="Times New Roman" w:hAnsi="Times New Roman" w:eastAsia="仿宋_GB2312" w:cs="Times New Roman"/>
                <w:kern w:val="2"/>
                <w:sz w:val="24"/>
                <w:szCs w:val="24"/>
                <w:lang w:val="en-US" w:eastAsia="zh-CN" w:bidi="ar-SA"/>
              </w:rPr>
            </w:pPr>
            <w:r>
              <w:rPr>
                <w:rFonts w:hint="eastAsia" w:eastAsia="仿宋_GB2312" w:cs="Times New Roman"/>
                <w:kern w:val="2"/>
                <w:sz w:val="24"/>
                <w:szCs w:val="24"/>
                <w:lang w:val="en-US" w:eastAsia="zh-CN" w:bidi="ar-SA"/>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李蓉</w:t>
            </w:r>
          </w:p>
        </w:tc>
        <w:tc>
          <w:tcPr>
            <w:tcW w:w="3561" w:type="dxa"/>
            <w:gridSpan w:val="6"/>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出纳</w:t>
            </w:r>
          </w:p>
        </w:tc>
        <w:tc>
          <w:tcPr>
            <w:tcW w:w="1479" w:type="dxa"/>
            <w:noWrap w:val="0"/>
            <w:vAlign w:val="center"/>
          </w:tcPr>
          <w:p>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岳阳电视转播台</w:t>
            </w:r>
          </w:p>
        </w:tc>
        <w:tc>
          <w:tcPr>
            <w:tcW w:w="3274" w:type="dxa"/>
            <w:gridSpan w:val="8"/>
            <w:noWrap w:val="0"/>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968" w:type="dxa"/>
            <w:gridSpan w:val="17"/>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968" w:type="dxa"/>
            <w:gridSpan w:val="17"/>
            <w:noWrap w:val="0"/>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968" w:type="dxa"/>
            <w:gridSpan w:val="17"/>
            <w:noWrap w:val="0"/>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联系电话：</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pPr>
              <w:jc w:val="center"/>
              <w:rPr>
                <w:rFonts w:ascii="黑体" w:hAnsi="黑体" w:eastAsia="黑体" w:cs="黑体"/>
                <w:bCs/>
                <w:sz w:val="28"/>
                <w:szCs w:val="28"/>
              </w:rPr>
            </w:pPr>
            <w:r>
              <w:rPr>
                <w:rFonts w:hint="eastAsia" w:ascii="黑体" w:hAnsi="黑体" w:eastAsia="黑体" w:cs="黑体"/>
                <w:bCs/>
                <w:sz w:val="28"/>
                <w:szCs w:val="28"/>
              </w:rPr>
              <w:t>五、评价报告综述</w:t>
            </w:r>
          </w:p>
          <w:p>
            <w:pPr>
              <w:spacing w:line="440" w:lineRule="exact"/>
              <w:ind w:firstLine="640" w:firstLineChars="200"/>
              <w:rPr>
                <w:rFonts w:eastAsia="仿宋_GB2312"/>
                <w:sz w:val="32"/>
                <w:szCs w:val="32"/>
              </w:rPr>
            </w:pPr>
          </w:p>
          <w:p>
            <w:pPr>
              <w:spacing w:line="560" w:lineRule="exact"/>
              <w:ind w:firstLine="600" w:firstLineChars="200"/>
              <w:rPr>
                <w:rFonts w:eastAsia="仿宋_GB2312"/>
                <w:b/>
                <w:bCs/>
                <w:sz w:val="30"/>
                <w:szCs w:val="30"/>
              </w:rPr>
            </w:pPr>
            <w:r>
              <w:rPr>
                <w:rFonts w:hint="eastAsia" w:eastAsia="仿宋_GB2312"/>
                <w:b/>
                <w:bCs/>
                <w:sz w:val="30"/>
                <w:szCs w:val="30"/>
              </w:rPr>
              <w:t>一、</w:t>
            </w:r>
            <w:r>
              <w:rPr>
                <w:rFonts w:hint="eastAsia" w:eastAsia="仿宋_GB2312"/>
                <w:b/>
                <w:bCs/>
                <w:sz w:val="30"/>
                <w:szCs w:val="30"/>
                <w:lang w:eastAsia="zh-CN"/>
              </w:rPr>
              <w:t>岳阳电视转播台</w:t>
            </w:r>
            <w:r>
              <w:rPr>
                <w:rFonts w:hint="eastAsia" w:eastAsia="仿宋_GB2312"/>
                <w:b/>
                <w:bCs/>
                <w:sz w:val="30"/>
                <w:szCs w:val="30"/>
              </w:rPr>
              <w:t>概况</w:t>
            </w:r>
          </w:p>
          <w:p>
            <w:pPr>
              <w:spacing w:line="560" w:lineRule="exact"/>
              <w:ind w:firstLine="600" w:firstLineChars="200"/>
              <w:rPr>
                <w:rFonts w:eastAsia="仿宋_GB2312"/>
                <w:sz w:val="30"/>
                <w:szCs w:val="30"/>
              </w:rPr>
            </w:pPr>
            <w:r>
              <w:rPr>
                <w:rFonts w:hint="eastAsia" w:eastAsia="仿宋_GB2312"/>
                <w:sz w:val="30"/>
                <w:szCs w:val="30"/>
              </w:rPr>
              <w:t>（一）基本情况</w:t>
            </w:r>
          </w:p>
          <w:p>
            <w:pPr>
              <w:spacing w:line="560" w:lineRule="exact"/>
              <w:ind w:firstLine="600" w:firstLineChars="200"/>
              <w:rPr>
                <w:rFonts w:eastAsia="仿宋_GB2312"/>
                <w:sz w:val="30"/>
                <w:szCs w:val="30"/>
              </w:rPr>
            </w:pPr>
            <w:r>
              <w:rPr>
                <w:rFonts w:hint="eastAsia" w:eastAsia="仿宋_GB2312"/>
                <w:sz w:val="30"/>
                <w:szCs w:val="30"/>
              </w:rPr>
              <w:t>岳阳电视转播台是公益一类全额拨款副处级事业单位，主要职责是：承担中央电视台、省电视台和岳阳电视台在本地区的转播发射工作；承担中央、省、市11个频率的立体声调频广播的转播发射工作；承担湘北及湘西地区的微波传输任务；承担手机电视等媒体转播发射工作；负责岳阳市金鹗山、汨罗市达摩岭两个发射基地的日常管理、技术维护和安全保卫工作。</w:t>
            </w:r>
          </w:p>
          <w:p>
            <w:pPr>
              <w:spacing w:line="560" w:lineRule="exact"/>
              <w:ind w:firstLine="600" w:firstLineChars="200"/>
              <w:rPr>
                <w:rFonts w:eastAsia="仿宋_GB2312"/>
                <w:sz w:val="30"/>
                <w:szCs w:val="30"/>
              </w:rPr>
            </w:pPr>
            <w:r>
              <w:rPr>
                <w:rFonts w:hint="eastAsia" w:eastAsia="仿宋_GB2312"/>
                <w:sz w:val="30"/>
                <w:szCs w:val="30"/>
              </w:rPr>
              <w:t>（二）整体支出规模、使用方向和主要内容、涉及范围等。</w:t>
            </w:r>
          </w:p>
          <w:p>
            <w:pPr>
              <w:spacing w:line="560" w:lineRule="exact"/>
              <w:ind w:firstLine="600" w:firstLineChars="200"/>
              <w:rPr>
                <w:rFonts w:hint="eastAsia" w:eastAsia="仿宋_GB2312"/>
                <w:sz w:val="30"/>
                <w:szCs w:val="30"/>
              </w:rPr>
            </w:pPr>
            <w:r>
              <w:rPr>
                <w:rFonts w:hint="eastAsia" w:eastAsia="仿宋_GB2312"/>
                <w:sz w:val="30"/>
                <w:szCs w:val="30"/>
              </w:rPr>
              <w:t>本年支出合计</w:t>
            </w:r>
            <w:r>
              <w:rPr>
                <w:rFonts w:hint="eastAsia" w:eastAsia="仿宋_GB2312"/>
                <w:sz w:val="30"/>
                <w:szCs w:val="30"/>
                <w:lang w:val="en-US" w:eastAsia="zh-CN"/>
              </w:rPr>
              <w:t>1135.97</w:t>
            </w:r>
            <w:r>
              <w:rPr>
                <w:rFonts w:hint="eastAsia" w:eastAsia="仿宋_GB2312"/>
                <w:sz w:val="30"/>
                <w:szCs w:val="30"/>
              </w:rPr>
              <w:t>万元，其中：基本支出</w:t>
            </w:r>
            <w:r>
              <w:rPr>
                <w:rFonts w:hint="eastAsia" w:eastAsia="仿宋_GB2312"/>
                <w:sz w:val="30"/>
                <w:szCs w:val="30"/>
                <w:lang w:val="en-US" w:eastAsia="zh-CN"/>
              </w:rPr>
              <w:t>958.37</w:t>
            </w:r>
            <w:r>
              <w:rPr>
                <w:rFonts w:hint="eastAsia" w:eastAsia="仿宋_GB2312"/>
                <w:sz w:val="30"/>
                <w:szCs w:val="30"/>
              </w:rPr>
              <w:t>万元，占</w:t>
            </w:r>
            <w:r>
              <w:rPr>
                <w:rFonts w:hint="eastAsia" w:eastAsia="仿宋_GB2312"/>
                <w:sz w:val="30"/>
                <w:szCs w:val="30"/>
                <w:lang w:val="en-US" w:eastAsia="zh-CN"/>
              </w:rPr>
              <w:t>84.37</w:t>
            </w:r>
            <w:r>
              <w:rPr>
                <w:rFonts w:hint="eastAsia" w:eastAsia="仿宋_GB2312"/>
                <w:sz w:val="30"/>
                <w:szCs w:val="30"/>
              </w:rPr>
              <w:t>%；项目支出</w:t>
            </w:r>
            <w:r>
              <w:rPr>
                <w:rFonts w:hint="eastAsia" w:eastAsia="仿宋_GB2312"/>
                <w:sz w:val="30"/>
                <w:szCs w:val="30"/>
                <w:lang w:val="en-US" w:eastAsia="zh-CN"/>
              </w:rPr>
              <w:t>177.61</w:t>
            </w:r>
            <w:r>
              <w:rPr>
                <w:rFonts w:hint="eastAsia" w:eastAsia="仿宋_GB2312"/>
                <w:sz w:val="30"/>
                <w:szCs w:val="30"/>
              </w:rPr>
              <w:t>万元，占</w:t>
            </w:r>
            <w:r>
              <w:rPr>
                <w:rFonts w:hint="eastAsia" w:eastAsia="仿宋_GB2312"/>
                <w:sz w:val="30"/>
                <w:szCs w:val="30"/>
                <w:lang w:val="en-US" w:eastAsia="zh-CN"/>
              </w:rPr>
              <w:t>15.63</w:t>
            </w:r>
            <w:r>
              <w:rPr>
                <w:rFonts w:hint="eastAsia" w:eastAsia="仿宋_GB2312"/>
                <w:sz w:val="30"/>
                <w:szCs w:val="30"/>
              </w:rPr>
              <w:t>%；上缴上级支出0万元，占比为0；经营支出0万元，占比为0；对附属单位补助支出0万元，占比为0。</w:t>
            </w:r>
          </w:p>
          <w:p>
            <w:pPr>
              <w:spacing w:line="560" w:lineRule="exact"/>
              <w:ind w:firstLine="600" w:firstLineChars="200"/>
              <w:rPr>
                <w:rFonts w:eastAsia="仿宋_GB2312"/>
                <w:sz w:val="30"/>
                <w:szCs w:val="30"/>
              </w:rPr>
            </w:pPr>
            <w:r>
              <w:rPr>
                <w:rFonts w:hint="eastAsia" w:eastAsia="仿宋_GB2312"/>
                <w:sz w:val="30"/>
                <w:szCs w:val="30"/>
              </w:rPr>
              <w:t>二、整体支出管理及使用情况</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（一）基本支出</w:t>
            </w:r>
          </w:p>
          <w:p>
            <w:pPr>
              <w:pStyle w:val="4"/>
              <w:spacing w:before="0" w:beforeAutospacing="0" w:after="0" w:afterAutospacing="0" w:line="480" w:lineRule="auto"/>
              <w:ind w:firstLine="480"/>
              <w:rPr>
                <w:rFonts w:hint="eastAsia" w:ascii="Times New Roman" w:hAnsi="Times New Roman" w:eastAsia="仿宋_GB2312" w:cs="Times New Roman"/>
                <w:kern w:val="2"/>
                <w:sz w:val="30"/>
                <w:szCs w:val="30"/>
                <w:lang w:val="en-US" w:eastAsia="zh-CN" w:bidi="ar-SA"/>
              </w:rPr>
            </w:pPr>
            <w:r>
              <w:rPr>
                <w:rFonts w:hint="eastAsia" w:ascii="Times New Roman" w:hAnsi="Times New Roman" w:eastAsia="仿宋_GB2312" w:cs="Times New Roman"/>
                <w:kern w:val="2"/>
                <w:sz w:val="30"/>
                <w:szCs w:val="30"/>
                <w:lang w:val="en-US" w:eastAsia="zh-CN" w:bidi="ar-SA"/>
              </w:rPr>
              <w:t>2023年度财政拨款基本支出958.37万元，其中：人员经费827.26万元，占基本支出的86.32%。</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（二）专项支出</w:t>
            </w:r>
          </w:p>
          <w:p>
            <w:pPr>
              <w:pStyle w:val="4"/>
              <w:spacing w:before="0" w:beforeAutospacing="0" w:after="0" w:afterAutospacing="0" w:line="480" w:lineRule="auto"/>
              <w:ind w:firstLine="480"/>
              <w:rPr>
                <w:rFonts w:hint="eastAsia"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lang w:eastAsia="zh-CN"/>
              </w:rPr>
              <w:t>2023</w:t>
            </w:r>
            <w:r>
              <w:rPr>
                <w:rFonts w:hint="eastAsia" w:ascii="Times New Roman" w:hAnsi="Times New Roman" w:eastAsia="仿宋_GB2312" w:cs="Times New Roman"/>
                <w:kern w:val="2"/>
                <w:sz w:val="30"/>
                <w:szCs w:val="30"/>
              </w:rPr>
              <w:t>年</w:t>
            </w:r>
            <w:r>
              <w:rPr>
                <w:rFonts w:hint="eastAsia" w:ascii="Times New Roman" w:hAnsi="Times New Roman" w:eastAsia="仿宋_GB2312" w:cs="Times New Roman"/>
                <w:kern w:val="2"/>
                <w:sz w:val="30"/>
                <w:szCs w:val="30"/>
                <w:lang w:eastAsia="zh-CN"/>
              </w:rPr>
              <w:t>岳阳电视转播台</w:t>
            </w:r>
            <w:r>
              <w:rPr>
                <w:rFonts w:hint="eastAsia" w:ascii="Times New Roman" w:hAnsi="Times New Roman" w:eastAsia="仿宋_GB2312" w:cs="Times New Roman"/>
                <w:kern w:val="2"/>
                <w:sz w:val="30"/>
                <w:szCs w:val="30"/>
              </w:rPr>
              <w:t>专项支出合计</w:t>
            </w:r>
            <w:r>
              <w:rPr>
                <w:rFonts w:hint="eastAsia" w:ascii="Times New Roman" w:hAnsi="Times New Roman" w:eastAsia="仿宋_GB2312" w:cs="Times New Roman"/>
                <w:kern w:val="2"/>
                <w:sz w:val="30"/>
                <w:szCs w:val="30"/>
                <w:lang w:val="en-US" w:eastAsia="zh-CN"/>
              </w:rPr>
              <w:t>177.61</w:t>
            </w:r>
            <w:r>
              <w:rPr>
                <w:rFonts w:hint="eastAsia" w:ascii="Times New Roman" w:hAnsi="Times New Roman" w:eastAsia="仿宋_GB2312" w:cs="Times New Roman"/>
                <w:kern w:val="2"/>
                <w:sz w:val="30"/>
                <w:szCs w:val="30"/>
              </w:rPr>
              <w:t>万元。其中</w:t>
            </w:r>
            <w:r>
              <w:rPr>
                <w:rFonts w:hint="eastAsia" w:ascii="Times New Roman" w:hAnsi="Times New Roman" w:eastAsia="仿宋_GB2312" w:cs="Times New Roman"/>
                <w:kern w:val="2"/>
                <w:sz w:val="30"/>
                <w:szCs w:val="30"/>
                <w:lang w:eastAsia="zh-CN"/>
              </w:rPr>
              <w:t>商品和服务支出</w:t>
            </w:r>
            <w:r>
              <w:rPr>
                <w:rFonts w:hint="eastAsia" w:ascii="Times New Roman" w:hAnsi="Times New Roman" w:eastAsia="仿宋_GB2312" w:cs="Times New Roman"/>
                <w:kern w:val="2"/>
                <w:sz w:val="30"/>
                <w:szCs w:val="30"/>
                <w:lang w:val="en-US" w:eastAsia="zh-CN"/>
              </w:rPr>
              <w:t>135.34万元，主要用于水电费、设备维修维护费、专用材料购置等支出，</w:t>
            </w:r>
            <w:r>
              <w:rPr>
                <w:rFonts w:hint="eastAsia" w:ascii="Times New Roman" w:hAnsi="Times New Roman" w:eastAsia="仿宋_GB2312" w:cs="Times New Roman"/>
                <w:kern w:val="2"/>
                <w:sz w:val="30"/>
                <w:szCs w:val="30"/>
                <w:lang w:eastAsia="zh-CN"/>
              </w:rPr>
              <w:t>资本性支出</w:t>
            </w:r>
            <w:r>
              <w:rPr>
                <w:rFonts w:hint="eastAsia" w:ascii="Times New Roman" w:hAnsi="Times New Roman" w:eastAsia="仿宋_GB2312" w:cs="Times New Roman"/>
                <w:kern w:val="2"/>
                <w:sz w:val="30"/>
                <w:szCs w:val="30"/>
              </w:rPr>
              <w:t>支出</w:t>
            </w:r>
            <w:r>
              <w:rPr>
                <w:rFonts w:hint="eastAsia" w:ascii="Times New Roman" w:hAnsi="Times New Roman" w:eastAsia="仿宋_GB2312" w:cs="Times New Roman"/>
                <w:kern w:val="2"/>
                <w:sz w:val="30"/>
                <w:szCs w:val="30"/>
                <w:lang w:val="en-US" w:eastAsia="zh-CN"/>
              </w:rPr>
              <w:t>42.27</w:t>
            </w:r>
            <w:r>
              <w:rPr>
                <w:rFonts w:hint="eastAsia" w:ascii="Times New Roman" w:hAnsi="Times New Roman" w:eastAsia="仿宋_GB2312" w:cs="Times New Roman"/>
                <w:kern w:val="2"/>
                <w:sz w:val="30"/>
                <w:szCs w:val="30"/>
              </w:rPr>
              <w:t>万元，</w:t>
            </w:r>
            <w:r>
              <w:rPr>
                <w:rFonts w:hint="eastAsia" w:ascii="Times New Roman" w:hAnsi="Times New Roman" w:eastAsia="仿宋_GB2312" w:cs="Times New Roman"/>
                <w:kern w:val="2"/>
                <w:sz w:val="30"/>
                <w:szCs w:val="30"/>
                <w:lang w:eastAsia="zh-CN"/>
              </w:rPr>
              <w:t>主要用于我单位专用设备购置、金鹗山铁塔机房尾款等</w:t>
            </w:r>
            <w:r>
              <w:rPr>
                <w:rFonts w:hint="eastAsia" w:ascii="Times New Roman" w:hAnsi="Times New Roman" w:eastAsia="仿宋_GB2312" w:cs="Times New Roman"/>
                <w:kern w:val="2"/>
                <w:sz w:val="30"/>
                <w:szCs w:val="30"/>
              </w:rPr>
              <w:t>。</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 xml:space="preserve"> </w:t>
            </w:r>
            <w:r>
              <w:rPr>
                <w:rFonts w:hint="eastAsia" w:ascii="Times New Roman" w:hAnsi="Times New Roman" w:eastAsia="仿宋_GB2312" w:cs="Times New Roman"/>
                <w:kern w:val="2"/>
                <w:sz w:val="30"/>
                <w:szCs w:val="30"/>
                <w:lang w:eastAsia="zh-CN"/>
              </w:rPr>
              <w:t>2023</w:t>
            </w:r>
            <w:r>
              <w:rPr>
                <w:rFonts w:hint="eastAsia" w:ascii="Times New Roman" w:hAnsi="Times New Roman" w:eastAsia="仿宋_GB2312" w:cs="Times New Roman"/>
                <w:kern w:val="2"/>
                <w:sz w:val="30"/>
                <w:szCs w:val="30"/>
              </w:rPr>
              <w:t>年度</w:t>
            </w:r>
            <w:r>
              <w:rPr>
                <w:rFonts w:hint="eastAsia" w:ascii="Times New Roman" w:hAnsi="Times New Roman" w:eastAsia="仿宋_GB2312" w:cs="Times New Roman"/>
                <w:kern w:val="2"/>
                <w:sz w:val="30"/>
                <w:szCs w:val="30"/>
                <w:lang w:eastAsia="zh-CN"/>
              </w:rPr>
              <w:t>岳阳电视转播台</w:t>
            </w:r>
            <w:r>
              <w:rPr>
                <w:rFonts w:hint="eastAsia" w:ascii="Times New Roman" w:hAnsi="Times New Roman" w:eastAsia="仿宋_GB2312" w:cs="Times New Roman"/>
                <w:kern w:val="2"/>
                <w:sz w:val="30"/>
                <w:szCs w:val="30"/>
              </w:rPr>
              <w:t>本着专款专用的原则，专项支出基本做到了按预算科目和项目资金的规定使用财政资金。</w:t>
            </w:r>
          </w:p>
          <w:p>
            <w:pPr>
              <w:spacing w:line="560" w:lineRule="exact"/>
              <w:ind w:firstLine="600" w:firstLineChars="200"/>
              <w:rPr>
                <w:rFonts w:eastAsia="仿宋_GB2312"/>
                <w:sz w:val="30"/>
                <w:szCs w:val="30"/>
              </w:rPr>
            </w:pPr>
            <w:r>
              <w:rPr>
                <w:rFonts w:hint="eastAsia" w:eastAsia="仿宋_GB2312"/>
                <w:sz w:val="30"/>
                <w:szCs w:val="30"/>
              </w:rPr>
              <w:t>三、部门（单位）整体支出绩效情况</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lang w:eastAsia="zh-CN"/>
              </w:rPr>
              <w:t>2023</w:t>
            </w:r>
            <w:r>
              <w:rPr>
                <w:rFonts w:hint="eastAsia" w:ascii="Times New Roman" w:hAnsi="Times New Roman" w:eastAsia="仿宋_GB2312" w:cs="Times New Roman"/>
                <w:kern w:val="2"/>
                <w:sz w:val="30"/>
                <w:szCs w:val="30"/>
              </w:rPr>
              <w:t>年，根据本单位年初工作规划和重点工作，围绕市委、市政府以及省厅的工作部署，积极履行职责，强化管理，较好地完成了年度工作目标，同时加强预算收支的管理，建立健全内部管理制度，严格内部管理流程，单位整体支出管理得到了提升。</w:t>
            </w:r>
            <w:r>
              <w:rPr>
                <w:rFonts w:hint="eastAsia" w:ascii="Times New Roman" w:hAnsi="Times New Roman" w:eastAsia="仿宋_GB2312" w:cs="Times New Roman"/>
                <w:kern w:val="2"/>
                <w:sz w:val="30"/>
                <w:szCs w:val="30"/>
                <w:lang w:eastAsia="zh-CN"/>
              </w:rPr>
              <w:t>2023</w:t>
            </w:r>
            <w:r>
              <w:rPr>
                <w:rFonts w:hint="eastAsia" w:ascii="Times New Roman" w:hAnsi="Times New Roman" w:eastAsia="仿宋_GB2312" w:cs="Times New Roman"/>
                <w:kern w:val="2"/>
                <w:sz w:val="30"/>
                <w:szCs w:val="30"/>
              </w:rPr>
              <w:t>年度整体支出绩效情况如下：</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1.本年预算配置控制较好，财政供养人员控制在预算编制以内， “三公”经费支出总额较上年减少。</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2.预算执行方面，支出总额控制在预算总额以内。</w:t>
            </w:r>
          </w:p>
          <w:p>
            <w:pPr>
              <w:pStyle w:val="4"/>
              <w:spacing w:before="0" w:beforeAutospacing="0" w:after="0" w:afterAutospacing="0" w:line="480" w:lineRule="auto"/>
              <w:ind w:firstLine="480"/>
              <w:rPr>
                <w:rFonts w:hint="eastAsia"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3.预算管理方面，制定了切实有效的内部财务、车辆等内部管理制度，执行总体较为有效。</w:t>
            </w:r>
          </w:p>
          <w:p>
            <w:pPr>
              <w:pStyle w:val="4"/>
              <w:spacing w:before="0" w:beforeAutospacing="0" w:after="0" w:afterAutospacing="0" w:line="480" w:lineRule="auto"/>
              <w:ind w:firstLine="480"/>
              <w:rPr>
                <w:rFonts w:eastAsia="仿宋_GB2312"/>
                <w:sz w:val="30"/>
                <w:szCs w:val="30"/>
              </w:rPr>
            </w:pPr>
            <w:r>
              <w:rPr>
                <w:rFonts w:hint="eastAsia" w:eastAsia="仿宋_GB2312"/>
                <w:sz w:val="30"/>
                <w:szCs w:val="30"/>
                <w:lang w:eastAsia="zh-CN"/>
              </w:rPr>
              <w:t>四</w:t>
            </w:r>
            <w:r>
              <w:rPr>
                <w:rFonts w:hint="eastAsia" w:eastAsia="仿宋_GB2312"/>
                <w:sz w:val="30"/>
                <w:szCs w:val="30"/>
              </w:rPr>
              <w:t>、存在的主要问题</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一是预算编制有待更严格执行。预算编制与实际支出项目有的仍存在细微差异。</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二是固定资产管理有待加强。</w:t>
            </w:r>
          </w:p>
          <w:p>
            <w:pPr>
              <w:spacing w:line="560" w:lineRule="exact"/>
              <w:ind w:firstLine="600" w:firstLineChars="200"/>
              <w:rPr>
                <w:rFonts w:eastAsia="仿宋_GB2312"/>
                <w:sz w:val="30"/>
                <w:szCs w:val="30"/>
              </w:rPr>
            </w:pPr>
            <w:r>
              <w:rPr>
                <w:rFonts w:hint="eastAsia" w:eastAsia="仿宋_GB2312"/>
                <w:sz w:val="30"/>
                <w:szCs w:val="30"/>
                <w:lang w:eastAsia="zh-CN"/>
              </w:rPr>
              <w:t>五</w:t>
            </w:r>
            <w:r>
              <w:rPr>
                <w:rFonts w:hint="eastAsia" w:eastAsia="仿宋_GB2312"/>
                <w:sz w:val="30"/>
                <w:szCs w:val="30"/>
              </w:rPr>
              <w:t>、改进措施和有关建议</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一是按照预算规定的项目和用途严格财务审核，经费支出严格按预算规定项目的财务支出内容进行财务核算，在预算金额内严格控制费用的支出。</w:t>
            </w:r>
          </w:p>
          <w:p>
            <w:pPr>
              <w:pStyle w:val="4"/>
              <w:spacing w:before="0" w:beforeAutospacing="0" w:after="0" w:afterAutospacing="0" w:line="480" w:lineRule="auto"/>
              <w:ind w:firstLine="480"/>
              <w:rPr>
                <w:rFonts w:ascii="Times New Roman" w:hAnsi="Times New Roman" w:eastAsia="仿宋_GB2312" w:cs="Times New Roman"/>
                <w:kern w:val="2"/>
                <w:sz w:val="30"/>
                <w:szCs w:val="30"/>
              </w:rPr>
            </w:pPr>
            <w:r>
              <w:rPr>
                <w:rFonts w:hint="eastAsia" w:ascii="Times New Roman" w:hAnsi="Times New Roman" w:eastAsia="仿宋_GB2312" w:cs="Times New Roman"/>
                <w:kern w:val="2"/>
                <w:sz w:val="30"/>
                <w:szCs w:val="30"/>
              </w:rPr>
              <w:t>二是预算财务分析常态化，定期做好预算支出财务分析，做好单位整体支出预算评价工作。</w:t>
            </w:r>
          </w:p>
          <w:p>
            <w:pPr>
              <w:pStyle w:val="4"/>
              <w:spacing w:before="0" w:beforeAutospacing="0" w:after="0" w:afterAutospacing="0" w:line="480" w:lineRule="auto"/>
              <w:ind w:firstLine="480"/>
              <w:rPr>
                <w:rFonts w:eastAsia="楷体_GB2312"/>
                <w:bCs/>
                <w:sz w:val="28"/>
                <w:szCs w:val="28"/>
              </w:rPr>
            </w:pPr>
            <w:r>
              <w:rPr>
                <w:rFonts w:hint="eastAsia" w:ascii="Times New Roman" w:hAnsi="Times New Roman" w:eastAsia="仿宋_GB2312" w:cs="Times New Roman"/>
                <w:kern w:val="2"/>
                <w:sz w:val="30"/>
                <w:szCs w:val="30"/>
              </w:rPr>
              <w:t>三是制度适用本局的固定资产管理制度，从资产采购、使用以及报废各环节规范固定资产的管理，提高固定资产使用效率，减少资金浪费。</w:t>
            </w:r>
          </w:p>
        </w:tc>
      </w:tr>
    </w:tbl>
    <w:p/>
    <w:p/>
    <w:p>
      <w:pPr>
        <w:rPr>
          <w:rFonts w:ascii="黑体" w:hAnsi="黑体" w:eastAsia="黑体"/>
          <w:sz w:val="32"/>
          <w:szCs w:val="32"/>
        </w:rPr>
      </w:pPr>
      <w:r>
        <w:rPr>
          <w:rFonts w:hint="eastAsia" w:ascii="黑体" w:hAnsi="黑体" w:eastAsia="黑体"/>
          <w:sz w:val="32"/>
          <w:szCs w:val="32"/>
        </w:rPr>
        <w:t>附件3-1</w:t>
      </w:r>
    </w:p>
    <w:p>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left"/>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春节前下达全部专项资金的50%；6月底前所有专项资金指标全部下达完。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hint="eastAsia"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hint="eastAsia"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④基础数据信息和会计信息资料完整，0.5分；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公务卡刷卡率达50％以上的，得3分。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tbl>
      <w:tblPr>
        <w:tblStyle w:val="5"/>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③资产处置规范； </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 岳阳市人民政府 关于做好岳阳市加快推进湖南发展新增长极建设2015年度综合绩效考评工作的通知》（岳发〔2015〕11号）和《中共岳阳市委 岳阳市人民政府 关于做好2015年度综合绩效考评工作的补充通知》（岳发〔2015〕19号）附件2第一大项“工作实绩指标”（700分）考核内容设置。</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97</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p>
      <w:pPr>
        <w:jc w:val="left"/>
        <w:rPr>
          <w:rFonts w:cs="黑体" w:asciiTheme="minorEastAsia" w:hAnsiTheme="minorEastAsia"/>
          <w:color w:val="000000"/>
          <w:kern w:val="0"/>
          <w:sz w:val="32"/>
          <w:szCs w:val="32"/>
        </w:rPr>
      </w:pP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9</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0049F"/>
    <w:rsid w:val="05D02392"/>
    <w:rsid w:val="091635F2"/>
    <w:rsid w:val="10AC616F"/>
    <w:rsid w:val="11893519"/>
    <w:rsid w:val="12D14352"/>
    <w:rsid w:val="167643B5"/>
    <w:rsid w:val="1BD253BD"/>
    <w:rsid w:val="1F4D40E8"/>
    <w:rsid w:val="24847D00"/>
    <w:rsid w:val="32E53F31"/>
    <w:rsid w:val="34F45A1C"/>
    <w:rsid w:val="38F24410"/>
    <w:rsid w:val="3B451F97"/>
    <w:rsid w:val="3D272BE3"/>
    <w:rsid w:val="4CC0049F"/>
    <w:rsid w:val="4DCD11DE"/>
    <w:rsid w:val="5382329B"/>
    <w:rsid w:val="6228339C"/>
    <w:rsid w:val="73B2475F"/>
    <w:rsid w:val="74910FBF"/>
    <w:rsid w:val="7C047862"/>
    <w:rsid w:val="7D325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2022-09-21T02:46:00Z</dcterms:created>
  <dc:creator>OO啊</dc:creator>
  <cp:lastModifiedBy>OO啊</cp:lastModifiedBy>
  <dcterms:modified xsi:type="dcterms:W3CDTF">2024-09-29T02:16:29Z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C3C900DE01534F2B8D07931E7102335C</vt:lpwstr>
  </property>
</Properties>
</file>