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岳阳电视转播台部门</w:t>
      </w:r>
      <w:r>
        <w:rPr>
          <w:rFonts w:hint="eastAsia" w:ascii="方正小标宋_GBK" w:hAnsi="方正小标宋_GBK" w:eastAsia="方正小标宋_GBK" w:cs="方正小标宋_GBK"/>
          <w:sz w:val="84"/>
          <w:szCs w:val="84"/>
        </w:rPr>
        <w:t>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岳阳电视转播台</w:t>
      </w:r>
      <w:r>
        <w:rPr>
          <w:rFonts w:hint="eastAsia" w:ascii="黑体" w:hAnsi="黑体" w:eastAsia="黑体" w:cs="黑体"/>
          <w:b w:val="0"/>
          <w:bCs/>
          <w:sz w:val="28"/>
          <w:szCs w:val="28"/>
        </w:rPr>
        <w:t>单位概况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岳阳电视转播台</w:t>
      </w:r>
      <w:r>
        <w:rPr>
          <w:rFonts w:hint="eastAsia" w:ascii="方正小标宋_GBK" w:hAnsi="方正小标宋_GBK" w:eastAsia="方正小标宋_GBK" w:cs="方正小标宋_GBK"/>
          <w:sz w:val="84"/>
          <w:szCs w:val="84"/>
        </w:rPr>
        <w:t>单位概况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（一）内设机构设置。岳阳电视转播台内设机构包括：办公室、电视发射部、微波调频部、技术部、安全保卫科。</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岳阳电视转播台</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岳阳电视转播台</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2023年度部门决算汇总公开单位仅包括岳阳点转播台本级。</w:t>
      </w:r>
    </w:p>
    <w:p>
      <w:pPr>
        <w:widowControl/>
        <w:spacing w:line="600" w:lineRule="exact"/>
        <w:ind w:firstLine="640" w:firstLineChars="200"/>
        <w:rPr>
          <w:rFonts w:hint="eastAsia" w:ascii="Times New Roman" w:hAnsi="Times New Roman" w:eastAsia="仿宋_GB2312" w:cs="仿宋_GB2312"/>
          <w:bCs/>
          <w:kern w:val="0"/>
          <w:sz w:val="32"/>
          <w:szCs w:val="32"/>
        </w:rPr>
      </w:pPr>
    </w:p>
    <w:p>
      <w:pPr>
        <w:widowControl/>
        <w:spacing w:line="600" w:lineRule="exact"/>
        <w:ind w:firstLine="640" w:firstLineChars="200"/>
        <w:rPr>
          <w:rFonts w:hint="eastAsia" w:ascii="Times New Roman" w:hAnsi="Times New Roman" w:eastAsia="仿宋_GB2312" w:cs="仿宋_GB2312"/>
          <w:bCs/>
          <w:kern w:val="0"/>
          <w:sz w:val="32"/>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both"/>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1135.97</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1.87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0.16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我单位人员减少。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1135.97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1028.29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90.52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107.69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9.48</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1135.98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958.37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84.37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117.61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15.63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1028.29</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54.94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5.07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我单位人员减少、非税成本返还比例减少。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1028.29</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90.52</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54.94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5.07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我单位人员减少以及非税成本返还比例减少。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1028.29</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（类）支出</w:t>
      </w:r>
      <w:r>
        <w:rPr>
          <w:rFonts w:hint="eastAsia" w:ascii="仿宋_GB2312" w:hAnsi="仿宋_GB2312" w:eastAsia="仿宋_GB2312" w:cs="仿宋_GB2312"/>
          <w:sz w:val="32"/>
          <w:szCs w:val="32"/>
          <w:lang w:val="en-US" w:eastAsia="zh-CN"/>
        </w:rPr>
        <w:t>771.44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75.02</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（类）支出</w:t>
      </w:r>
      <w:r>
        <w:rPr>
          <w:rFonts w:hint="eastAsia" w:ascii="仿宋_GB2312" w:hAnsi="仿宋_GB2312" w:eastAsia="仿宋_GB2312" w:cs="仿宋_GB2312"/>
          <w:sz w:val="32"/>
          <w:szCs w:val="32"/>
          <w:lang w:val="en-US" w:eastAsia="zh-CN"/>
        </w:rPr>
        <w:t>182.97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17.79</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卫生健康支出（类）支出</w:t>
      </w:r>
      <w:r>
        <w:rPr>
          <w:rFonts w:hint="eastAsia" w:ascii="Times New Roman" w:hAnsi="Times New Roman" w:eastAsia="仿宋_GB2312"/>
          <w:sz w:val="32"/>
          <w:szCs w:val="32"/>
          <w:lang w:val="en-US" w:eastAsia="zh-CN"/>
        </w:rPr>
        <w:t>25.88万元，占2.52%；住房保障支出48.01万元，占4.67%</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765.01</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1028.29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134.42</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lang w:eastAsia="zh-CN"/>
        </w:rPr>
        <w:t>文化旅游体育与传媒支出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文化和旅游</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其他文化和旅游支出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533.01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601.96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112.94</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年末财政追加人员经费补差。</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lang w:eastAsia="zh-CN"/>
        </w:rPr>
        <w:t>文化旅游体育与传媒支出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广播电视</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广播电视事务</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51.1</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该指标为上年非税收入返还，年初无算。</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eastAsia="zh-CN"/>
        </w:rPr>
        <w:t>文化旅游体育与传媒支出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广播电视</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其他广播电视支出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7.61</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该指标为</w:t>
      </w:r>
      <w:r>
        <w:rPr>
          <w:rFonts w:hint="eastAsia" w:ascii="仿宋_GB2312" w:hAnsi="仿宋_GB2312" w:eastAsia="仿宋_GB2312" w:cs="仿宋_GB2312"/>
          <w:sz w:val="32"/>
          <w:szCs w:val="32"/>
          <w:lang w:val="en-US" w:eastAsia="zh-CN"/>
        </w:rPr>
        <w:t>上年指标结余结转，年初无预算。</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eastAsia="zh-CN"/>
        </w:rPr>
        <w:t>文化旅游体育与传媒支出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w:t>
      </w:r>
      <w:r>
        <w:rPr>
          <w:rFonts w:hint="eastAsia" w:ascii="Times New Roman" w:hAnsi="Times New Roman" w:eastAsia="仿宋_GB2312"/>
          <w:sz w:val="32"/>
          <w:szCs w:val="32"/>
          <w:lang w:eastAsia="zh-CN"/>
        </w:rPr>
        <w:t>文化旅游体育与传媒支出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w:t>
      </w:r>
      <w:r>
        <w:rPr>
          <w:rFonts w:hint="eastAsia" w:ascii="Times New Roman" w:hAnsi="Times New Roman" w:eastAsia="仿宋_GB2312"/>
          <w:sz w:val="32"/>
          <w:szCs w:val="32"/>
          <w:lang w:eastAsia="zh-CN"/>
        </w:rPr>
        <w:t>文化旅游体育与传媒支出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110.77</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该指标为年中中央、省广电拨付的专项资金，年初无预算。</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行政事业单位养老支出（款）事业单位离退休</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87.75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108.81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年末财政追加退休人员经费补差。</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行政事业单位养老支出（款）机关事业单位基本养老保险缴费支出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49.24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49.24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严格按照预算执行。</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抚恤（款）其他优抚支出（项）。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年初未安排抚恤金。</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其他社会保障和就业支出（款）其他社会保障和就业支出（项）。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21.12</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21.12</w:t>
      </w:r>
      <w:r>
        <w:rPr>
          <w:rFonts w:hint="eastAsia" w:ascii="仿宋_GB2312" w:hAnsi="仿宋_GB2312" w:eastAsia="仿宋_GB2312" w:cs="仿宋_GB2312"/>
          <w:sz w:val="32"/>
          <w:szCs w:val="32"/>
        </w:rPr>
        <w:t>为万元，完成年初预算的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严格按照预算执行。</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卫生健康支出（类）行政事业单位医疗（款）事业单位医疗（项）。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25.58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严格按照预算执行。</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住房保障支出（类）住房改革支出（款）住房公积金（项）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48.01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48.01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严格按照预算执行。</w:t>
      </w:r>
    </w:p>
    <w:p>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_GB2312" w:hAnsi="仿宋_GB2312" w:eastAsia="仿宋_GB2312" w:cs="仿宋_GB2312"/>
          <w:sz w:val="32"/>
          <w:szCs w:val="32"/>
        </w:rPr>
      </w:pPr>
    </w:p>
    <w:p>
      <w:pPr>
        <w:pStyle w:val="2"/>
        <w:rPr>
          <w:rFonts w:hint="eastAsia"/>
        </w:rPr>
      </w:pP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890.91</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827.26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92.86</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、绩效工资、机关事业单位基本养老保险缴费、职业年金缴费、职工基本医疗保障缴费、其他社会保障缴费、住房公积金、其他工资福利支出。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63.65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水费、物业管理费、差旅费、公务接待费、劳务费、工会经费、福利费、公务用车运行维护费、其他交通费用、其他商品和服务支出、办公设备购置</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11.35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31.28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公务接待费支出预算为8.35万元，支出决算</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14.49</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招待人数略有增加</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w:t>
      </w:r>
      <w:r>
        <w:rPr>
          <w:rFonts w:hint="eastAsia" w:ascii="仿宋_GB2312" w:hAnsi="仿宋_GB2312" w:eastAsia="仿宋_GB2312" w:cs="仿宋_GB2312"/>
          <w:b w:val="0"/>
          <w:bCs/>
          <w:color w:val="FF0000"/>
          <w:kern w:val="0"/>
          <w:sz w:val="32"/>
          <w:szCs w:val="32"/>
          <w:lang w:val="en-US" w:eastAsia="zh-CN" w:bidi="ar-SA"/>
        </w:rPr>
        <w:t xml:space="preserve">  </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9.65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34.08</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65.92</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630" w:leftChars="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color w:val="auto"/>
          <w:kern w:val="0"/>
          <w:sz w:val="32"/>
          <w:szCs w:val="32"/>
          <w:lang w:val="en-US" w:eastAsia="zh-CN" w:bidi="ar-SA"/>
        </w:rPr>
        <w:t>1、因公出国（境）费支出决算为0万元，全年</w:t>
      </w:r>
      <w:r>
        <w:rPr>
          <w:rFonts w:hint="eastAsia" w:ascii="仿宋_GB2312" w:hAnsi="仿宋_GB2312" w:eastAsia="仿宋_GB2312" w:cs="仿宋_GB2312"/>
          <w:color w:val="000000"/>
          <w:kern w:val="0"/>
          <w:sz w:val="32"/>
          <w:szCs w:val="32"/>
          <w:lang w:val="en-US" w:eastAsia="zh-CN" w:bidi="ar-SA"/>
        </w:rPr>
        <w:t xml:space="preserve">安排因公出国（境）团组0个，累计0人次，我单位2023年度无因公出国（境）费支出。 </w:t>
      </w:r>
      <w:r>
        <w:rPr>
          <w:rFonts w:hint="eastAsia" w:ascii="仿宋_GB2312" w:hAnsi="仿宋_GB2312" w:eastAsia="仿宋_GB2312" w:cs="仿宋_GB2312"/>
          <w:b w:val="0"/>
          <w:bCs/>
          <w:color w:val="FF0000"/>
          <w:kern w:val="0"/>
          <w:sz w:val="32"/>
          <w:szCs w:val="32"/>
          <w:lang w:val="en-US" w:eastAsia="zh-CN" w:bidi="ar-SA"/>
        </w:rPr>
        <w:t xml:space="preserve"> </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接待省覆盖中心、省微波总站、省传媒中心、省工信厅等单位</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lang w:val="en-US" w:eastAsia="zh-CN" w:bidi="ar-SA"/>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公务用车油费、维修费支</w:t>
      </w:r>
      <w:r>
        <w:rPr>
          <w:rFonts w:hint="eastAsia" w:ascii="仿宋_GB2312" w:hAnsi="仿宋_GB2312" w:eastAsia="仿宋_GB2312" w:cs="仿宋_GB2312"/>
          <w:sz w:val="32"/>
          <w:szCs w:val="32"/>
        </w:rPr>
        <w:t>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本级和所属单位均为事业单位，按照机关运行经费的口径，本年度机关运行经费为0。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年度，会议费年初预算0万元，支出决算为0万元。</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培训费年初预算0万元，支出决算为0万元。</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w:t>
      </w:r>
    </w:p>
    <w:p>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本单位无会议费的预算和支出决算数；本单位无培训费的预算和支出决算数；本单位无举办节庆、晚会、论坛、赛事等活动的预算和支出决算数。</w:t>
      </w:r>
    </w:p>
    <w:p>
      <w:pPr>
        <w:pStyle w:val="13"/>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 xml:space="preserve"> 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w:t>
      </w:r>
      <w:r>
        <w:rPr>
          <w:rFonts w:hint="eastAsia" w:ascii="Times New Roman" w:hAnsi="Times New Roman" w:eastAsia="仿宋_GB2312"/>
          <w:color w:val="auto"/>
          <w:sz w:val="32"/>
          <w:szCs w:val="32"/>
        </w:rPr>
        <w:t>政府采购支出总额</w:t>
      </w:r>
      <w:r>
        <w:rPr>
          <w:rFonts w:hint="eastAsia"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占政府采购支出总额的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（由于授予中小企业合同金额为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比重，由于以上各项合同金额为</w:t>
      </w:r>
      <w:r>
        <w:rPr>
          <w:rFonts w:hint="eastAsia" w:ascii="Times New Roman" w:hAnsi="Times New Roman" w:eastAsia="仿宋_GB2312"/>
          <w:color w:val="auto"/>
          <w:sz w:val="32"/>
          <w:szCs w:val="32"/>
          <w:lang w:val="en-US" w:eastAsia="zh-CN"/>
        </w:rPr>
        <w:t>0，故无法计算各项占比</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用于我单位工作人员前往汨罗达摩岭基地值班用车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1028.29万元，政府性基金预算支出0万元，国有资本经营预算支出0万元。从评价情况来看，整体支出绩效评价中，2023年整体支出1135.98万元，其中：基本支出958.37万元，项目支出177.61万元，本单位整体支出绩效自评综合评分97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个，共涉及资金15万元，占一般公共预算项目支出总额的10.92%。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100分，评价结果等次为优秀。</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根据年初设定的绩效目标，绩效自评得分为97分。全年预算数为765.01万元，执行数为1135.97万元，完成预算的148.49%。绩效目标完成情况：</w:t>
      </w:r>
      <w:r>
        <w:rPr>
          <w:rFonts w:hint="eastAsia" w:ascii="仿宋_GB2312" w:hAnsi="仿宋_GB2312" w:eastAsia="仿宋_GB2312" w:cs="仿宋_GB2312"/>
          <w:b w:val="0"/>
          <w:bCs w:val="0"/>
          <w:sz w:val="32"/>
          <w:szCs w:val="32"/>
          <w:lang w:val="en-US" w:eastAsia="zh-CN"/>
        </w:rPr>
        <w:t>一是本年预算配置控制较好，财政供养人员控制在预算编制以内，实际在职人员数少于编制数；“三公”经费支出总额较上年有所降低。二是预算执行方面，支出总额控制在预算总额以内，圆满完成了当年的任务目标，财政拨款支出总体控制较好。三是预算管理方面，制定了切实有效的内部财务、车辆、资产内部管理制度，执行总体较为有效。发现的主要问题及原因：一是预算支出绩效指标不够细化、不够全面；二是预算调整率偏高。下一步改进措施：严格按照和执行资金使用管理的相关规定，对资金实行“专款专用”，严格风险防范，保障资金安全和高效运行。。</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8"/>
        <w:spacing w:before="0" w:beforeAutospacing="0" w:after="0" w:afterAutospacing="0" w:line="480" w:lineRule="auto"/>
        <w:ind w:firstLine="48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p>
    <w:p>
      <w:pPr>
        <w:pStyle w:val="8"/>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一是预算编制有待更严格执行。预算编制与实际支出项目有的仍存在细微差异。</w:t>
      </w:r>
    </w:p>
    <w:p>
      <w:pPr>
        <w:pStyle w:val="8"/>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二是固定资产管理有待加强。</w:t>
      </w:r>
    </w:p>
    <w:p>
      <w:pPr>
        <w:spacing w:line="560" w:lineRule="exact"/>
        <w:ind w:firstLine="600" w:firstLineChars="200"/>
        <w:rPr>
          <w:rFonts w:hint="eastAsia" w:eastAsia="仿宋_GB2312"/>
          <w:sz w:val="30"/>
          <w:szCs w:val="30"/>
          <w:lang w:eastAsia="zh-CN"/>
        </w:rPr>
      </w:pPr>
      <w:r>
        <w:rPr>
          <w:rFonts w:hint="eastAsia" w:eastAsia="仿宋_GB2312"/>
          <w:sz w:val="30"/>
          <w:szCs w:val="30"/>
        </w:rPr>
        <w:t>改进措施和有关建议</w:t>
      </w:r>
      <w:r>
        <w:rPr>
          <w:rFonts w:hint="eastAsia" w:eastAsia="仿宋_GB2312"/>
          <w:sz w:val="30"/>
          <w:szCs w:val="30"/>
          <w:lang w:eastAsia="zh-CN"/>
        </w:rPr>
        <w:t>：</w:t>
      </w:r>
    </w:p>
    <w:p>
      <w:pPr>
        <w:pStyle w:val="8"/>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一是按照预算规定的项目和用途严格财务审核，经费支出严格按预算规定项目的财务支出内容进行财务核算，在预算金额内严格控制费用的支出。</w:t>
      </w:r>
    </w:p>
    <w:p>
      <w:pPr>
        <w:pStyle w:val="8"/>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二是预算财务分析常态化，定期做好预算支出财务分析，做好单位整体支出预算评价工作。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0"/>
          <w:szCs w:val="30"/>
        </w:rPr>
        <w:t>三是制度适用本</w:t>
      </w:r>
      <w:r>
        <w:rPr>
          <w:rFonts w:hint="eastAsia" w:ascii="Times New Roman" w:hAnsi="Times New Roman" w:eastAsia="仿宋_GB2312" w:cs="Times New Roman"/>
          <w:kern w:val="2"/>
          <w:sz w:val="30"/>
          <w:szCs w:val="30"/>
          <w:lang w:eastAsia="zh-CN"/>
        </w:rPr>
        <w:t>单位</w:t>
      </w:r>
      <w:r>
        <w:rPr>
          <w:rFonts w:hint="eastAsia" w:ascii="Times New Roman" w:hAnsi="Times New Roman" w:eastAsia="仿宋_GB2312" w:cs="Times New Roman"/>
          <w:kern w:val="2"/>
          <w:sz w:val="30"/>
          <w:szCs w:val="30"/>
        </w:rPr>
        <w:t>的固定资产管理制度，从资产采购、使用以及报废各环节规范固定资产的管理，提高固定资产使用效率，减少资金浪费。</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3"/>
        <w:jc w:val="both"/>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
      <w:pPr>
        <w:pStyle w:val="2"/>
      </w:pPr>
    </w:p>
    <w:p>
      <w:pPr>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工资福利支出：反映单位开支的在职职工和编制外长期聘用人员的各类劳动报酬，以及为上述人员缴纳的各项社会保险费等。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津贴补贴：反映经国家批准建立的机关事业单位艰苦边远地区津贴、机关工作人员地区附加津贴、机关工作人员岗位津贴、事业单位工作人员特殊岗位津贴补贴等。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奖金：反映机关工作人员年终一次性奖金。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伙食补助费：反映单位发给职工的伙食补助费，如误餐补助等。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绩效工资：反映事业单位工作人员的绩效工资。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机关事业单位基本养老保险缴费：反映机关事业单位缴纳的基本养老保险费。由单位代扣的工作人员基本养老保险缴费，不在此科目反映。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职业年金缴费：反映机关事业单位实际缴纳的职业年金支出。由单位代扣的工作人员职业年金缴费，不在此科目反映。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职工基本医疗保险缴费：反映单位为职工缴纳的基本医疗保险费。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其他社会保障缴费：反映单位为职工缴纳的基本医疗、失业、工伤、生育等社会保险费，残疾人就业保障金，军队（含武警）为军人缴纳的伤亡、退役医疗等社会保险费。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住房公积金：反映行政事业单位按人力资源和社会保障部、财政部规定的基本工资和津贴补贴以及规定比例为职工缴纳的住房公积金。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医疗费：反映未参加医疗保险单位的医疗经费和单位按规定为职工支出的其他医疗费用。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商品和服务支出：反映单位购买商品和服务的支出（不包括用于购置固定资产的支出、战略性和应急储备支出）。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办公费：反映单位购买按财务会计制度规定不符合固定资产确认标准的日常办公用品、书报杂志等支出。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印刷费：反映单位的印刷费支出。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咨询费：反映单位咨询方面的支出。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水费：反映单位支付的水费、污水处理费等支出。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电费：反映单位的电费支出。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邮电费：反映单位开支的信函、包裹、货物等物品的邮寄费及电话费、电报费、传真费、网络通讯费等。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物业管理费：反映单位开支的办公用房以及未实行职工住宅物业服务改革的在职职工和离退休人员宿舍等的物业管理费，包括综合治理、绿化、卫生等方面的支出。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差旅费：反映单位工作人员出差发生的城市间交通费、住宿费、伙食补贴费和市内交通费。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维修(护)费：反映单位日常开支的固定资产（不包括车船等交通工具）修理和维护费用，网络信息系统运行与维护费用，以及按规定提取的修购基金。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会议费：反映会议中按规定开支的住宿费、伙食费、会议室租金、交通费、文件印刷费、医药费等。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培训费：反映除因公出国（境）培训费以外的各类培训支出。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公务接待费：反映单位按规定开支的各类公务接待（含外宾接待）费用。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劳务费：反映支付给单位和个人的劳务费用，如临时聘用人员、钟点工工资，稿费、翻译费，评审费等。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委托业务费：反映因委托外单位办理业务而支付的委托业务费。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工会经费：反映单位按规定提取的工会经费。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公务用车运行维护费：反映单位按规定保留的公务用车燃料费、维修费、过桥过路费、保险费、安全奖励费用等支出。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其他交通费用：反映单位除公务用车运行维护费以外的其他交通费用。如公务交通补贴，租车费用、出租车费用，飞机、船舶等的燃料费、维修费、保险费等。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其他商品和服务支出：反映上述科目未包括的日常公用支出。如行政赔偿费和诉讼费、国内组织的会员费、来访费、广告宣传、其他劳务费及离休人员特需费、公用经费等。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对个人和家庭的补助：反映政府用于对个人和家庭的补助支出。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退休费：反映行政事业单位和军队移交政府安置的退休人员的退休费和其他补贴。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抚恤金：反映按规定开支的烈士遗属、牺牲病故人员遗属的一次性和定期抚恤金，伤残人员的抚恤金，离退休人员等其他人员的各项抚恤金。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办公设备购置：反映用于购置并按财务会计制度规定纳入固定资产核算范围的办公家具和办公设备的支出，以及按规定提取的修购基金。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textAlignment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其他资本性支出：反映上述科目中未包括的资本性支出。</w:t>
      </w:r>
    </w:p>
    <w:p>
      <w:pPr>
        <w:pStyle w:val="13"/>
        <w:jc w:val="both"/>
        <w:rPr>
          <w:rFonts w:hint="eastAsia" w:ascii="仿宋_GB2312" w:hAnsi="仿宋_GB2312" w:eastAsia="仿宋_GB2312" w:cs="仿宋_GB2312"/>
          <w:sz w:val="32"/>
          <w:szCs w:val="32"/>
        </w:rPr>
      </w:pPr>
    </w:p>
    <w:p>
      <w:pPr>
        <w:pStyle w:val="13"/>
        <w:jc w:val="both"/>
        <w:rPr>
          <w:rFonts w:hint="eastAsia" w:ascii="仿宋_GB2312" w:hAnsi="仿宋_GB2312" w:eastAsia="仿宋_GB2312" w:cs="仿宋_GB2312"/>
          <w:sz w:val="32"/>
          <w:szCs w:val="32"/>
        </w:rPr>
      </w:pPr>
    </w:p>
    <w:p>
      <w:pPr>
        <w:pStyle w:val="3"/>
      </w:pPr>
    </w:p>
    <w:p/>
    <w:p>
      <w:pPr>
        <w:pStyle w:val="2"/>
      </w:pPr>
    </w:p>
    <w:p>
      <w:pPr>
        <w:pStyle w:val="3"/>
      </w:pPr>
    </w:p>
    <w:p>
      <w:bookmarkStart w:id="0" w:name="_GoBack"/>
      <w:bookmarkEnd w:id="0"/>
    </w:p>
    <w:p>
      <w:pPr>
        <w:pStyle w:val="2"/>
      </w:pPr>
    </w:p>
    <w:p>
      <w:pPr>
        <w:pStyle w:val="3"/>
      </w:pPr>
    </w:p>
    <w:p/>
    <w:p>
      <w:pPr>
        <w:pStyle w:val="2"/>
      </w:pPr>
    </w:p>
    <w:p>
      <w:pPr>
        <w:pStyle w:val="3"/>
      </w:pPr>
    </w:p>
    <w:p/>
    <w:p>
      <w:pPr>
        <w:pStyle w:val="2"/>
      </w:pPr>
    </w:p>
    <w:p>
      <w:pPr>
        <w:pStyle w:val="3"/>
      </w:pPr>
    </w:p>
    <w:p/>
    <w:p>
      <w:pPr>
        <w:pStyle w:val="2"/>
      </w:pPr>
    </w:p>
    <w:p>
      <w:pPr>
        <w:pStyle w:val="3"/>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A8175"/>
    <w:multiLevelType w:val="singleLevel"/>
    <w:tmpl w:val="C1FA8175"/>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0FF33B1F"/>
    <w:rsid w:val="12583BA5"/>
    <w:rsid w:val="13BA5B9C"/>
    <w:rsid w:val="1D97DEFF"/>
    <w:rsid w:val="1DFF72E5"/>
    <w:rsid w:val="1EFC6F07"/>
    <w:rsid w:val="1F0527A6"/>
    <w:rsid w:val="219B0F0C"/>
    <w:rsid w:val="22AC03C2"/>
    <w:rsid w:val="2DB15B4A"/>
    <w:rsid w:val="2FDF85B8"/>
    <w:rsid w:val="2FFFEE04"/>
    <w:rsid w:val="317F36E5"/>
    <w:rsid w:val="31C95635"/>
    <w:rsid w:val="34DF85B0"/>
    <w:rsid w:val="3A920693"/>
    <w:rsid w:val="3B8F36BC"/>
    <w:rsid w:val="3C9761D9"/>
    <w:rsid w:val="425C06FF"/>
    <w:rsid w:val="475F7517"/>
    <w:rsid w:val="491FF225"/>
    <w:rsid w:val="4FFD214C"/>
    <w:rsid w:val="50484067"/>
    <w:rsid w:val="5352765A"/>
    <w:rsid w:val="5777D4F5"/>
    <w:rsid w:val="580F64B7"/>
    <w:rsid w:val="593D7D16"/>
    <w:rsid w:val="59DD8326"/>
    <w:rsid w:val="5DEF592A"/>
    <w:rsid w:val="5FC6BB1E"/>
    <w:rsid w:val="5FF720F1"/>
    <w:rsid w:val="67FF5C0B"/>
    <w:rsid w:val="6BAA4A2F"/>
    <w:rsid w:val="6EFC0924"/>
    <w:rsid w:val="6F476207"/>
    <w:rsid w:val="6FB74722"/>
    <w:rsid w:val="6FEF8B7E"/>
    <w:rsid w:val="71A6591B"/>
    <w:rsid w:val="737D59BA"/>
    <w:rsid w:val="737F32B1"/>
    <w:rsid w:val="7493179D"/>
    <w:rsid w:val="778B6351"/>
    <w:rsid w:val="77C37683"/>
    <w:rsid w:val="78753691"/>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19</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OO啊</cp:lastModifiedBy>
  <cp:lastPrinted>2024-08-08T10:20:00Z</cp:lastPrinted>
  <dcterms:modified xsi:type="dcterms:W3CDTF">2024-09-29T02:53:12Z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C79BE4D4A24145F4833C0EAC6CFFAC3A</vt:lpwstr>
  </property>
</Properties>
</file>