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sz w:val="56"/>
          <w:szCs w:val="56"/>
        </w:rPr>
      </w:pPr>
    </w:p>
    <w:p>
      <w:pPr>
        <w:pStyle w:val="15"/>
        <w:jc w:val="center"/>
        <w:rPr>
          <w:sz w:val="56"/>
          <w:szCs w:val="56"/>
        </w:rPr>
      </w:pPr>
    </w:p>
    <w:p>
      <w:pPr>
        <w:pStyle w:val="15"/>
        <w:jc w:val="center"/>
        <w:rPr>
          <w:sz w:val="84"/>
          <w:szCs w:val="84"/>
        </w:rPr>
      </w:pPr>
    </w:p>
    <w:p>
      <w:pPr>
        <w:pStyle w:val="15"/>
        <w:jc w:val="center"/>
        <w:rPr>
          <w:sz w:val="84"/>
          <w:szCs w:val="84"/>
        </w:rPr>
      </w:pPr>
    </w:p>
    <w:p>
      <w:pPr>
        <w:pStyle w:val="15"/>
        <w:jc w:val="center"/>
        <w:rPr>
          <w:rFonts w:hint="eastAsia" w:ascii="方正小标宋简体" w:hAnsi="方正小标宋简体" w:eastAsia="方正小标宋简体" w:cs="方正小标宋简体"/>
          <w:b/>
          <w:bCs/>
          <w:sz w:val="84"/>
          <w:szCs w:val="84"/>
        </w:rPr>
      </w:pPr>
      <w:r>
        <w:rPr>
          <w:rFonts w:hint="eastAsia" w:ascii="方正小标宋简体" w:hAnsi="方正小标宋简体" w:eastAsia="方正小标宋简体" w:cs="方正小标宋简体"/>
          <w:b/>
          <w:bCs/>
          <w:sz w:val="84"/>
          <w:szCs w:val="84"/>
        </w:rPr>
        <w:t>202</w:t>
      </w:r>
      <w:r>
        <w:rPr>
          <w:rFonts w:hint="eastAsia" w:ascii="方正小标宋简体" w:hAnsi="方正小标宋简体" w:eastAsia="方正小标宋简体" w:cs="方正小标宋简体"/>
          <w:b/>
          <w:bCs/>
          <w:sz w:val="84"/>
          <w:szCs w:val="84"/>
          <w:lang w:val="en-US" w:eastAsia="zh-CN"/>
        </w:rPr>
        <w:t>3</w:t>
      </w:r>
      <w:r>
        <w:rPr>
          <w:rFonts w:hint="eastAsia" w:ascii="方正小标宋简体" w:hAnsi="方正小标宋简体" w:eastAsia="方正小标宋简体" w:cs="方正小标宋简体"/>
          <w:b/>
          <w:bCs/>
          <w:sz w:val="84"/>
          <w:szCs w:val="84"/>
        </w:rPr>
        <w:t>年度岳阳市城市管理和综合执法局湖南城陵矶新港区分局部门决算</w:t>
      </w:r>
    </w:p>
    <w:p>
      <w:pPr>
        <w:pStyle w:val="15"/>
        <w:jc w:val="center"/>
        <w:rPr>
          <w:rFonts w:hint="eastAsia" w:ascii="方正小标宋_GBK" w:hAnsi="方正小标宋_GBK" w:eastAsia="方正小标宋_GBK" w:cs="方正小标宋_GBK"/>
          <w:sz w:val="56"/>
          <w:szCs w:val="56"/>
        </w:rPr>
      </w:pPr>
    </w:p>
    <w:p>
      <w:pPr>
        <w:pStyle w:val="15"/>
        <w:jc w:val="center"/>
        <w:rPr>
          <w:sz w:val="56"/>
          <w:szCs w:val="56"/>
        </w:rPr>
      </w:pPr>
    </w:p>
    <w:p>
      <w:pPr>
        <w:pStyle w:val="15"/>
        <w:jc w:val="center"/>
        <w:rPr>
          <w:sz w:val="56"/>
          <w:szCs w:val="56"/>
        </w:rPr>
      </w:pPr>
    </w:p>
    <w:p>
      <w:pPr>
        <w:pStyle w:val="15"/>
        <w:jc w:val="center"/>
        <w:rPr>
          <w:sz w:val="56"/>
          <w:szCs w:val="56"/>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jc w:val="center"/>
        <w:rPr>
          <w:sz w:val="32"/>
          <w:szCs w:val="32"/>
        </w:rPr>
      </w:pPr>
    </w:p>
    <w:p>
      <w:pPr>
        <w:pStyle w:val="15"/>
        <w:spacing w:line="500" w:lineRule="exact"/>
        <w:ind w:firstLine="4680" w:firstLineChars="1300"/>
        <w:jc w:val="both"/>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岳阳市城市管理和综合执法局湖南城陵矶新港区分局单位概况</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5"/>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5"/>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5"/>
        <w:ind w:firstLine="3960" w:firstLineChars="900"/>
        <w:jc w:val="both"/>
        <w:rPr>
          <w:rFonts w:hint="eastAsia" w:ascii="方正小标宋_GBK" w:hAnsi="方正小标宋_GBK" w:eastAsia="方正小标宋_GBK" w:cs="方正小标宋_GBK"/>
          <w:b/>
          <w:bCs/>
          <w:sz w:val="44"/>
          <w:szCs w:val="44"/>
        </w:rPr>
      </w:pPr>
    </w:p>
    <w:p>
      <w:pPr>
        <w:pStyle w:val="15"/>
        <w:ind w:firstLine="4320" w:firstLineChars="900"/>
        <w:jc w:val="both"/>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 xml:space="preserve">第一部分 </w:t>
      </w:r>
    </w:p>
    <w:p>
      <w:pPr>
        <w:ind w:firstLine="2400" w:firstLineChars="500"/>
        <w:jc w:val="both"/>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岳阳市城市管理和综合执法局</w:t>
      </w:r>
    </w:p>
    <w:p>
      <w:pPr>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湖南城陵矶新港区分局单位概况</w:t>
      </w:r>
    </w:p>
    <w:p>
      <w:pPr>
        <w:pStyle w:val="10"/>
        <w:rPr>
          <w:rFonts w:hint="eastAsia"/>
        </w:rPr>
      </w:pPr>
    </w:p>
    <w:p>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keepLines/>
        <w:shd w:val="clear" w:color="auto" w:fill="FFFFFF"/>
        <w:spacing w:beforeLines="0" w:afterLines="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4"/>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adjustRightInd/>
        <w:spacing w:line="600" w:lineRule="exact"/>
        <w:ind w:firstLine="640" w:firstLineChars="200"/>
        <w:rPr>
          <w:rFonts w:hint="eastAsia"/>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sz w:val="32"/>
          <w:szCs w:val="24"/>
          <w:lang w:val="zh-CN" w:eastAsia="zh-CN"/>
        </w:rPr>
        <w:t>岳阳市城市管理和综合执法局湖南城陵矶新港区分局</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sz w:val="32"/>
          <w:szCs w:val="24"/>
          <w:lang w:val="zh-CN" w:eastAsia="zh-CN"/>
        </w:rPr>
        <w:t>综合股、财务股、行政审批股、维护考评股、执法一中队、执法二中队、执法三中队。</w:t>
      </w:r>
    </w:p>
    <w:p>
      <w:pPr>
        <w:ind w:firstLine="640" w:firstLineChars="200"/>
        <w:jc w:val="left"/>
        <w:rPr>
          <w:rFonts w:hint="eastAsia" w:ascii="仿宋_GB2312" w:hAnsi="仿宋_GB2312" w:eastAsia="仿宋_GB2312" w:cs="仿宋_GB2312"/>
          <w:i/>
          <w:iCs/>
          <w:color w:val="auto"/>
          <w:sz w:val="32"/>
          <w:szCs w:val="32"/>
          <w:highlight w:val="white"/>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color w:val="auto"/>
          <w:sz w:val="32"/>
          <w:szCs w:val="32"/>
          <w:lang w:val="zh-CN" w:eastAsia="zh-CN"/>
        </w:rPr>
        <w:t>岳阳市城市管理和综合执法局湖南城陵矶新港区分局</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Pr>
        <w:pStyle w:val="4"/>
        <w:rPr>
          <w:rFonts w:hint="eastAsia" w:ascii="仿宋_GB2312" w:hAnsi="仿宋_GB2312" w:eastAsia="仿宋_GB2312" w:cs="仿宋_GB2312"/>
          <w:i/>
          <w:iCs/>
          <w:color w:val="auto"/>
          <w:sz w:val="32"/>
          <w:szCs w:val="32"/>
          <w:highlight w:val="white"/>
        </w:rPr>
      </w:pPr>
    </w:p>
    <w:p>
      <w:pPr>
        <w:rPr>
          <w:rFonts w:hint="eastAsia"/>
        </w:rPr>
      </w:pPr>
    </w:p>
    <w:p>
      <w:pPr>
        <w:pStyle w:val="15"/>
        <w:jc w:val="center"/>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第二部分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rPr>
        <w:t>部门决算表</w:t>
      </w:r>
    </w:p>
    <w:p>
      <w:pPr>
        <w:pStyle w:val="15"/>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lang w:eastAsia="zh-CN"/>
        </w:rPr>
        <w:t>（见附件）</w:t>
      </w:r>
    </w:p>
    <w:p>
      <w:pPr>
        <w:pStyle w:val="15"/>
        <w:jc w:val="center"/>
        <w:rPr>
          <w:rFonts w:hint="eastAsia" w:ascii="仿宋_GB2312" w:hAnsi="仿宋_GB2312" w:eastAsia="仿宋_GB2312" w:cs="仿宋_GB2312"/>
          <w:b w:val="0"/>
          <w:bCs w:val="0"/>
          <w:sz w:val="72"/>
          <w:szCs w:val="72"/>
          <w:lang w:eastAsia="zh-CN"/>
        </w:rPr>
      </w:pPr>
    </w:p>
    <w:p>
      <w:pPr>
        <w:pStyle w:val="15"/>
        <w:jc w:val="both"/>
        <w:rPr>
          <w:rFonts w:hint="eastAsia" w:ascii="方正小标宋_GBK" w:hAnsi="方正小标宋_GBK" w:eastAsia="方正小标宋_GBK" w:cs="方正小标宋_GBK"/>
          <w:sz w:val="72"/>
          <w:szCs w:val="72"/>
        </w:rPr>
      </w:pP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第三部分</w:t>
      </w: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202</w:t>
      </w:r>
      <w:r>
        <w:rPr>
          <w:rFonts w:hint="eastAsia" w:ascii="方正小标宋简体" w:hAnsi="方正小标宋简体" w:eastAsia="方正小标宋简体" w:cs="方正小标宋简体"/>
          <w:b/>
          <w:bCs/>
          <w:sz w:val="48"/>
          <w:szCs w:val="48"/>
          <w:lang w:val="en-US" w:eastAsia="zh-CN"/>
        </w:rPr>
        <w:t>3</w:t>
      </w:r>
      <w:r>
        <w:rPr>
          <w:rFonts w:hint="eastAsia" w:ascii="方正小标宋简体" w:hAnsi="方正小标宋简体" w:eastAsia="方正小标宋简体" w:cs="方正小标宋简体"/>
          <w:b/>
          <w:bCs/>
          <w:sz w:val="48"/>
          <w:szCs w:val="48"/>
        </w:rPr>
        <w:t>年度部门决算情况说明</w:t>
      </w:r>
    </w:p>
    <w:p>
      <w:pPr>
        <w:pStyle w:val="15"/>
        <w:jc w:val="both"/>
        <w:rPr>
          <w:rFonts w:hint="eastAsia" w:ascii="方正小标宋_GBK" w:hAnsi="方正小标宋_GBK" w:eastAsia="方正小标宋_GBK" w:cs="方正小标宋_GBK"/>
          <w:sz w:val="32"/>
          <w:szCs w:val="32"/>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86.43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25.71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本年增加了港区停车管理专项整治经费，及人员经费的正常增长。</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422.62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87.09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54.58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12.91</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422.65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FF000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87.88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31.37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本年增加了港区停车管理专项整治经费，及人员经费的正常增长。</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87.08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87.88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31.37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主要是因为</w:t>
      </w:r>
      <w:r>
        <w:rPr>
          <w:rFonts w:hint="eastAsia" w:ascii="仿宋_GB2312" w:hAnsi="仿宋_GB2312" w:eastAsia="仿宋_GB2312" w:cs="仿宋_GB2312"/>
          <w:color w:val="auto"/>
          <w:sz w:val="32"/>
          <w:szCs w:val="32"/>
          <w:lang w:eastAsia="zh-CN"/>
        </w:rPr>
        <w:t>本年增加了港区停车管理专项整治经费，</w:t>
      </w:r>
      <w:bookmarkStart w:id="0" w:name="_GoBack"/>
      <w:bookmarkEnd w:id="0"/>
      <w:r>
        <w:rPr>
          <w:rFonts w:hint="eastAsia" w:ascii="仿宋_GB2312" w:hAnsi="仿宋_GB2312" w:eastAsia="仿宋_GB2312" w:cs="仿宋_GB2312"/>
          <w:color w:val="auto"/>
          <w:sz w:val="32"/>
          <w:szCs w:val="32"/>
          <w:lang w:eastAsia="zh-CN"/>
        </w:rPr>
        <w:t>及人员经费的正常增长。</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24.32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307.81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83.63</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320.71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114.76</w:t>
      </w:r>
      <w:r>
        <w:rPr>
          <w:rFonts w:hint="eastAsia" w:ascii="仿宋_GB2312" w:hAnsi="仿宋_GB2312" w:eastAsia="仿宋_GB2312" w:cs="仿宋_GB2312"/>
          <w:sz w:val="32"/>
          <w:szCs w:val="32"/>
        </w:rPr>
        <w:t>%，其中：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23.60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2、社会保障和就业支出（类）其他社会保障和就业支出（款）其他社会保障和就业支出（项）。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、卫生健康支出（类）行政事业单位医疗（款）行政单位医疗（项）。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12.40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、住房保障支出（类）住房改革支出（款）住房公积金（项）。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、城乡社区支出（类）城乡社区管理事务（款）行政运行（项）。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245.47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241.81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98.51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于年初预算数的主要原因是</w:t>
      </w:r>
      <w:r>
        <w:rPr>
          <w:rFonts w:hint="eastAsia" w:ascii="仿宋_GB2312" w:hAnsi="仿宋_GB2312" w:eastAsia="仿宋_GB2312" w:cs="仿宋_GB2312"/>
          <w:color w:val="auto"/>
          <w:sz w:val="32"/>
          <w:szCs w:val="32"/>
          <w:lang w:val="en-US" w:eastAsia="zh-CN"/>
        </w:rPr>
        <w:t>2023年底预算一体化系统升级，暂停资金支付业务，部分费用未及时支付。</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、城乡社区支出（类）城乡社区管理事务（款）其他城乡社区管理事务支出（项）。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39.13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年中财政拨付了港区停车管理专项整治经费。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、城乡社区支出（类）城乡社区规划与管理（款）城乡社区规划与管理（项）。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92.13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2023年底预算一体化系统升级，暂停资金支付业务，部分费用未及时支付。</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、城乡社区支出（类）其他城乡社区支出（款）其他城乡社区支出（项）。</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w:t>
      </w:r>
      <w:r>
        <w:rPr>
          <w:rFonts w:hint="eastAsia" w:ascii="仿宋_GB2312" w:hAnsi="仿宋_GB2312" w:eastAsia="仿宋_GB2312" w:cs="仿宋_GB2312"/>
          <w:color w:val="auto"/>
          <w:sz w:val="32"/>
          <w:szCs w:val="32"/>
        </w:rPr>
        <w:t>要原因是</w:t>
      </w:r>
      <w:r>
        <w:rPr>
          <w:rFonts w:hint="eastAsia" w:ascii="仿宋_GB2312" w:hAnsi="仿宋_GB2312" w:eastAsia="仿宋_GB2312" w:cs="仿宋_GB2312"/>
          <w:color w:val="auto"/>
          <w:sz w:val="32"/>
          <w:szCs w:val="32"/>
          <w:lang w:eastAsia="zh-CN"/>
        </w:rPr>
        <w:t>年中财政增拨了综合绩效奖年终部分经费。</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368.04</w:t>
      </w:r>
      <w:r>
        <w:rPr>
          <w:rFonts w:hint="eastAsia" w:ascii="仿宋_GB2312" w:hAnsi="仿宋_GB2312" w:eastAsia="仿宋_GB2312" w:cs="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299.36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81.34</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抚恤金</w:t>
      </w: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68.68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18.66</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i w:val="0"/>
          <w:iCs w:val="0"/>
          <w:caps w:val="0"/>
          <w:color w:val="000000"/>
          <w:spacing w:val="0"/>
          <w:sz w:val="32"/>
          <w:szCs w:val="32"/>
        </w:rPr>
        <w:t>邮电费、差旅费、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、培训费、</w:t>
      </w:r>
      <w:r>
        <w:rPr>
          <w:rFonts w:hint="eastAsia" w:ascii="仿宋_GB2312" w:hAnsi="仿宋_GB2312" w:eastAsia="仿宋_GB2312" w:cs="仿宋_GB2312"/>
          <w:i w:val="0"/>
          <w:iCs w:val="0"/>
          <w:caps w:val="0"/>
          <w:color w:val="000000"/>
          <w:spacing w:val="0"/>
          <w:sz w:val="32"/>
          <w:szCs w:val="32"/>
          <w:lang w:val="en-US" w:eastAsia="zh-CN"/>
        </w:rPr>
        <w:t>委托业务费、</w:t>
      </w:r>
      <w:r>
        <w:rPr>
          <w:rFonts w:hint="eastAsia" w:ascii="仿宋_GB2312" w:hAnsi="仿宋_GB2312" w:eastAsia="仿宋_GB2312" w:cs="仿宋_GB2312"/>
          <w:i w:val="0"/>
          <w:iCs w:val="0"/>
          <w:caps w:val="0"/>
          <w:color w:val="000000"/>
          <w:spacing w:val="0"/>
          <w:sz w:val="32"/>
          <w:szCs w:val="32"/>
        </w:rPr>
        <w:t>工会经费、福利费、其他交通费用、其他商品和服务支出</w:t>
      </w:r>
      <w:r>
        <w:rPr>
          <w:rFonts w:hint="eastAsia" w:ascii="仿宋_GB2312" w:hAnsi="仿宋_GB2312" w:eastAsia="仿宋_GB2312" w:cs="仿宋_GB2312"/>
          <w:b w:val="0"/>
          <w:bCs/>
          <w:sz w:val="32"/>
          <w:szCs w:val="32"/>
          <w:lang w:eastAsia="zh-CN"/>
        </w:rPr>
        <w:t>。</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i w:val="0"/>
          <w:iCs/>
          <w:color w:val="auto"/>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我单位坚持厉行节约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压减一般性支出，</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一致，</w:t>
      </w:r>
      <w:r>
        <w:rPr>
          <w:rFonts w:hint="eastAsia" w:ascii="仿宋_GB2312" w:hAnsi="仿宋_GB2312" w:eastAsia="仿宋_GB2312" w:cs="仿宋_GB2312"/>
          <w:b w:val="0"/>
          <w:bCs/>
          <w:color w:val="auto"/>
          <w:kern w:val="0"/>
          <w:sz w:val="32"/>
          <w:szCs w:val="32"/>
          <w:lang w:val="en-US" w:eastAsia="zh-CN" w:bidi="ar-SA"/>
        </w:rPr>
        <w:t>无增减变动，</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始终坚持厉行节约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严控“三公”经费支出</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决算数等于预算数，主要原因是我单位严格按预算执行决算；与上年一致，无增减变动，主要原因是未安排因公出国（境）活动。</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auto"/>
          <w:kern w:val="0"/>
          <w:sz w:val="32"/>
          <w:szCs w:val="32"/>
          <w:lang w:val="en-US" w:eastAsia="zh-CN" w:bidi="ar-SA"/>
        </w:rPr>
        <w:t xml:space="preserve">严格执行中央八项规定；与上年一致，无增减变动，主要原因是按有关政策厉行节约，严控公务接待支出。 </w:t>
      </w:r>
      <w:r>
        <w:rPr>
          <w:rFonts w:hint="eastAsia" w:ascii="仿宋_GB2312" w:hAnsi="仿宋_GB2312" w:eastAsia="仿宋_GB2312" w:cs="仿宋_GB2312"/>
          <w:b w:val="0"/>
          <w:bCs/>
          <w:color w:val="FF0000"/>
          <w:kern w:val="0"/>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 xml:space="preserve">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 xml:space="preserve">决算数等于预算数，主要原因是我单位严格按预算执行决算；与上年一致，无增减变动，主要原因是两年均无公务用车需要运行维护。 </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 xml:space="preserve">我单位2023年度无因公出国（境）费支出。 </w:t>
      </w:r>
    </w:p>
    <w:p>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b w:val="0"/>
          <w:bCs/>
          <w:color w:val="auto"/>
          <w:kern w:val="0"/>
          <w:sz w:val="32"/>
          <w:szCs w:val="32"/>
          <w:lang w:val="en-US" w:eastAsia="zh-CN" w:bidi="ar-SA"/>
        </w:rPr>
        <w:t>我单位2023年度无公务接待费支出。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color w:val="auto"/>
          <w:sz w:val="32"/>
          <w:szCs w:val="32"/>
        </w:rPr>
        <w:t>。公</w:t>
      </w:r>
      <w:r>
        <w:rPr>
          <w:rFonts w:hint="eastAsia" w:ascii="仿宋_GB2312" w:hAnsi="仿宋_GB2312" w:eastAsia="仿宋_GB2312" w:cs="仿宋_GB2312"/>
          <w:sz w:val="32"/>
          <w:szCs w:val="32"/>
        </w:rPr>
        <w:t>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5"/>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单位为全额拨款事业单位，按照机关运行经费的口径，本年度机关运行经费为0。</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5"/>
        <w:ind w:firstLine="640" w:firstLineChars="20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培训费年初预算2.00万元，支出决算为1.18万元，完成年初预算的59.00%。</w:t>
      </w:r>
      <w:r>
        <w:rPr>
          <w:rFonts w:hint="eastAsia" w:ascii="仿宋_GB2312" w:hAnsi="仿宋_GB2312" w:eastAsia="仿宋_GB2312" w:cs="仿宋_GB2312"/>
          <w:color w:val="auto"/>
          <w:kern w:val="0"/>
          <w:sz w:val="32"/>
          <w:szCs w:val="32"/>
          <w:lang w:val="en-US" w:eastAsia="zh-CN" w:bidi="ar-SA"/>
        </w:rPr>
        <w:t>用于开展入党积极分子培训、垃圾分类、园林绿化、短视频制作和财务专业培训，人数6人，内容为党员和党史、以及相关业务学习。</w:t>
      </w:r>
      <w:r>
        <w:rPr>
          <w:rFonts w:hint="eastAsia" w:ascii="仿宋_GB2312" w:hAnsi="仿宋_GB2312" w:eastAsia="仿宋_GB2312" w:cs="仿宋_GB2312"/>
          <w:b w:val="0"/>
          <w:bCs w:val="0"/>
          <w:i w:val="0"/>
          <w:iCs w:val="0"/>
          <w:color w:val="auto"/>
          <w:kern w:val="0"/>
          <w:sz w:val="32"/>
          <w:szCs w:val="32"/>
          <w:lang w:val="en-US" w:eastAsia="zh-CN" w:bidi="ar-SA"/>
        </w:rPr>
        <w:t>无举办节庆、晚会、论坛、赛事等活动的预算和支出决算数。</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56.34</w:t>
      </w:r>
      <w:r>
        <w:rPr>
          <w:rFonts w:hint="eastAsia" w:ascii="仿宋_GB2312" w:hAnsi="仿宋_GB2312" w:eastAsia="仿宋_GB2312" w:cs="仿宋_GB2312"/>
          <w:sz w:val="32"/>
          <w:szCs w:val="32"/>
        </w:rPr>
        <w:t>万元，其中：政府采购货物支</w:t>
      </w:r>
      <w:r>
        <w:rPr>
          <w:rFonts w:hint="eastAsia" w:ascii="仿宋_GB2312" w:hAnsi="仿宋_GB2312" w:eastAsia="仿宋_GB2312" w:cs="仿宋_GB2312"/>
          <w:color w:val="auto"/>
          <w:sz w:val="32"/>
          <w:szCs w:val="32"/>
        </w:rPr>
        <w:t>出</w:t>
      </w:r>
      <w:r>
        <w:rPr>
          <w:rFonts w:hint="eastAsia" w:ascii="仿宋_GB2312" w:hAnsi="仿宋_GB2312" w:eastAsia="仿宋_GB2312" w:cs="仿宋_GB2312"/>
          <w:color w:val="auto"/>
          <w:sz w:val="32"/>
          <w:szCs w:val="32"/>
          <w:lang w:val="en-US" w:eastAsia="zh-CN"/>
        </w:rPr>
        <w:t>21.74</w:t>
      </w:r>
      <w:r>
        <w:rPr>
          <w:rFonts w:hint="eastAsia" w:ascii="仿宋_GB2312" w:hAnsi="仿宋_GB2312" w:eastAsia="仿宋_GB2312" w:cs="仿宋_GB2312"/>
          <w:color w:val="auto"/>
          <w:sz w:val="32"/>
          <w:szCs w:val="32"/>
        </w:rPr>
        <w:t>万元、政府采购工程支出</w:t>
      </w:r>
      <w:r>
        <w:rPr>
          <w:rFonts w:hint="eastAsia" w:ascii="仿宋_GB2312" w:hAnsi="仿宋_GB2312" w:eastAsia="仿宋_GB2312" w:cs="仿宋_GB2312"/>
          <w:color w:val="auto"/>
          <w:sz w:val="32"/>
          <w:szCs w:val="32"/>
          <w:lang w:val="en-US" w:eastAsia="zh-CN"/>
        </w:rPr>
        <w:t>24.70</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9.90</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56.34</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56.34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38.59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43.84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17.57</w:t>
      </w:r>
      <w:r>
        <w:rPr>
          <w:rFonts w:hint="eastAsia" w:ascii="仿宋_GB2312" w:hAnsi="仿宋_GB2312" w:eastAsia="仿宋_GB2312" w:cs="仿宋_GB2312"/>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368.04万元，政府性基金预算支出0万元，国有资本经营预算支出0万元。从评价情况来看，整体支出绩效评价中，2023年整体支出422.65万元，其中：基本支出422.65万元，项目支出0万元，本单位整体支出绩效自评综合评分96.91分，评价结果等次为优秀。</w:t>
      </w:r>
    </w:p>
    <w:p>
      <w:pPr>
        <w:numPr>
          <w:ilvl w:val="0"/>
          <w:numId w:val="0"/>
        </w:numPr>
        <w:autoSpaceDE w:val="0"/>
        <w:autoSpaceDN w:val="0"/>
        <w:adjustRightInd w:val="0"/>
        <w:ind w:firstLine="640" w:firstLineChars="200"/>
        <w:jc w:val="left"/>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0个，共涉及资金0万元（由于一般公共预算项目支出总额为0，故无法计算占一般公共预算项目支出总额比重）。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w:t>
      </w:r>
      <w:r>
        <w:rPr>
          <w:rFonts w:hint="eastAsia" w:ascii="仿宋_GB2312" w:hAnsi="仿宋_GB2312" w:eastAsia="仿宋_GB2312" w:cs="仿宋_GB2312"/>
          <w:b w:val="0"/>
          <w:bCs w:val="0"/>
          <w:i w:val="0"/>
          <w:iCs w:val="0"/>
          <w:color w:val="auto"/>
          <w:kern w:val="0"/>
          <w:sz w:val="32"/>
          <w:szCs w:val="32"/>
          <w:lang w:val="en-US" w:eastAsia="zh-CN"/>
        </w:rPr>
        <w:t>本单位无项目支出，未开展项目绩效自评，无项目绩效自评结果。</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根据年初设定的绩效目标，绩效自评得分为96.91 分。全年预算数为426.53万元，执行数为422.65万元，完成预算的99.09%。绩效目标完成情况：一是</w:t>
      </w:r>
      <w:r>
        <w:rPr>
          <w:rFonts w:hint="eastAsia" w:ascii="仿宋_GB2312" w:hAnsi="仿宋_GB2312" w:eastAsia="仿宋_GB2312" w:cs="仿宋_GB2312"/>
          <w:sz w:val="32"/>
          <w:szCs w:val="32"/>
          <w:lang w:val="en-US" w:eastAsia="zh-CN"/>
        </w:rPr>
        <w:t>加大了市政设施</w:t>
      </w:r>
      <w:r>
        <w:rPr>
          <w:rFonts w:hint="eastAsia" w:ascii="仿宋_GB2312" w:hAnsi="仿宋_GB2312" w:eastAsia="仿宋_GB2312" w:cs="仿宋_GB2312"/>
          <w:sz w:val="32"/>
          <w:szCs w:val="32"/>
          <w:lang w:eastAsia="zh-CN"/>
        </w:rPr>
        <w:t>维护管理</w:t>
      </w:r>
      <w:r>
        <w:rPr>
          <w:rFonts w:hint="eastAsia" w:ascii="仿宋_GB2312" w:hAnsi="仿宋_GB2312" w:eastAsia="仿宋_GB2312" w:cs="仿宋_GB2312"/>
          <w:sz w:val="32"/>
          <w:szCs w:val="32"/>
          <w:lang w:val="en-US" w:eastAsia="zh-CN"/>
        </w:rPr>
        <w:t>力度</w:t>
      </w:r>
      <w:r>
        <w:rPr>
          <w:rFonts w:hint="eastAsia" w:ascii="仿宋_GB2312" w:hAnsi="仿宋_GB2312" w:eastAsia="仿宋_GB2312" w:cs="仿宋_GB2312"/>
          <w:sz w:val="32"/>
          <w:szCs w:val="32"/>
          <w:lang w:eastAsia="zh-CN"/>
        </w:rPr>
        <w:t>，考评</w:t>
      </w:r>
      <w:r>
        <w:rPr>
          <w:rFonts w:hint="eastAsia" w:ascii="仿宋_GB2312" w:hAnsi="仿宋_GB2312" w:eastAsia="仿宋_GB2312" w:cs="仿宋_GB2312"/>
          <w:sz w:val="32"/>
          <w:szCs w:val="32"/>
          <w:lang w:val="en-US" w:eastAsia="zh-CN"/>
        </w:rPr>
        <w:t>考核更加细致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市政设施</w:t>
      </w:r>
      <w:r>
        <w:rPr>
          <w:rFonts w:hint="eastAsia" w:ascii="仿宋_GB2312" w:hAnsi="仿宋_GB2312" w:eastAsia="仿宋_GB2312" w:cs="仿宋_GB2312"/>
          <w:sz w:val="32"/>
          <w:szCs w:val="32"/>
          <w:lang w:eastAsia="zh-CN"/>
        </w:rPr>
        <w:t>维护质量，</w:t>
      </w:r>
      <w:r>
        <w:rPr>
          <w:rFonts w:hint="eastAsia" w:ascii="仿宋_GB2312" w:hAnsi="仿宋_GB2312" w:eastAsia="仿宋_GB2312" w:cs="仿宋_GB2312"/>
          <w:sz w:val="32"/>
          <w:szCs w:val="32"/>
          <w:lang w:val="en-US" w:eastAsia="zh-CN"/>
        </w:rPr>
        <w:t>管养水平不断提升;</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eastAsia="zh-CN"/>
        </w:rPr>
        <w:t>单位负责的行政审批工作</w:t>
      </w:r>
      <w:r>
        <w:rPr>
          <w:rFonts w:hint="eastAsia" w:ascii="仿宋_GB2312" w:hAnsi="仿宋_GB2312" w:eastAsia="仿宋_GB2312" w:cs="仿宋_GB2312"/>
          <w:sz w:val="32"/>
          <w:szCs w:val="32"/>
          <w:lang w:val="en-US" w:eastAsia="zh-CN"/>
        </w:rPr>
        <w:t>办理流程得到进一步优化，办理效率不断提升；三是</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lang w:val="en-US" w:eastAsia="zh-CN"/>
        </w:rPr>
        <w:t>整治</w:t>
      </w:r>
      <w:r>
        <w:rPr>
          <w:rFonts w:hint="eastAsia" w:ascii="仿宋_GB2312" w:hAnsi="仿宋_GB2312" w:eastAsia="仿宋_GB2312" w:cs="仿宋_GB2312"/>
          <w:sz w:val="32"/>
          <w:szCs w:val="32"/>
          <w:lang w:eastAsia="zh-CN"/>
        </w:rPr>
        <w:t>和垃圾分类</w:t>
      </w:r>
      <w:r>
        <w:rPr>
          <w:rFonts w:hint="eastAsia" w:ascii="仿宋_GB2312" w:hAnsi="仿宋_GB2312" w:eastAsia="仿宋_GB2312" w:cs="仿宋_GB2312"/>
          <w:sz w:val="32"/>
          <w:szCs w:val="32"/>
          <w:lang w:val="en-US" w:eastAsia="zh-CN"/>
        </w:rPr>
        <w:t>等工作取得新成效</w:t>
      </w:r>
      <w:r>
        <w:rPr>
          <w:rFonts w:hint="eastAsia" w:ascii="仿宋_GB2312" w:hAnsi="仿宋_GB2312" w:eastAsia="仿宋_GB2312" w:cs="仿宋_GB2312"/>
          <w:sz w:val="32"/>
          <w:szCs w:val="32"/>
          <w:lang w:eastAsia="zh-CN"/>
        </w:rPr>
        <w:t>，高效完成</w:t>
      </w:r>
      <w:r>
        <w:rPr>
          <w:rFonts w:hint="eastAsia" w:ascii="仿宋_GB2312" w:hAnsi="仿宋_GB2312" w:eastAsia="仿宋_GB2312" w:cs="仿宋_GB2312"/>
          <w:sz w:val="32"/>
          <w:szCs w:val="32"/>
          <w:lang w:val="en-US" w:eastAsia="zh-CN"/>
        </w:rPr>
        <w:t>了各项</w:t>
      </w:r>
      <w:r>
        <w:rPr>
          <w:rFonts w:hint="eastAsia" w:ascii="仿宋_GB2312" w:hAnsi="仿宋_GB2312" w:eastAsia="仿宋_GB2312" w:cs="仿宋_GB2312"/>
          <w:sz w:val="32"/>
          <w:szCs w:val="32"/>
          <w:lang w:eastAsia="zh-CN"/>
        </w:rPr>
        <w:t>接待任务</w:t>
      </w: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2"/>
          <w:lang w:eastAsia="zh-CN"/>
        </w:rPr>
        <w:t>优化完善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执法程序，持续开展综合整治</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，扬尘</w:t>
      </w:r>
      <w:r>
        <w:rPr>
          <w:rFonts w:hint="eastAsia" w:ascii="仿宋_GB2312" w:hAnsi="仿宋_GB2312" w:eastAsia="仿宋_GB2312" w:cs="仿宋_GB2312"/>
          <w:sz w:val="32"/>
          <w:szCs w:val="32"/>
          <w:lang w:val="en-US" w:eastAsia="zh-CN"/>
        </w:rPr>
        <w:t>治理</w:t>
      </w:r>
      <w:r>
        <w:rPr>
          <w:rFonts w:hint="eastAsia" w:ascii="仿宋_GB2312" w:hAnsi="仿宋_GB2312" w:eastAsia="仿宋_GB2312" w:cs="仿宋_GB2312"/>
          <w:sz w:val="32"/>
          <w:szCs w:val="32"/>
          <w:lang w:eastAsia="zh-CN"/>
        </w:rPr>
        <w:t>和禁燃禁放</w:t>
      </w:r>
      <w:r>
        <w:rPr>
          <w:rFonts w:hint="eastAsia" w:ascii="仿宋_GB2312" w:hAnsi="仿宋_GB2312" w:eastAsia="仿宋_GB2312" w:cs="仿宋_GB2312"/>
          <w:sz w:val="32"/>
          <w:szCs w:val="32"/>
          <w:lang w:val="en-US" w:eastAsia="zh-CN"/>
        </w:rPr>
        <w:t>得到有效管控；五是</w:t>
      </w:r>
      <w:r>
        <w:rPr>
          <w:rFonts w:hint="eastAsia" w:ascii="仿宋_GB2312" w:hAnsi="仿宋_GB2312" w:eastAsia="仿宋_GB2312" w:cs="仿宋_GB2312"/>
          <w:sz w:val="32"/>
          <w:szCs w:val="32"/>
          <w:lang w:eastAsia="zh-CN"/>
        </w:rPr>
        <w:t>及时受理了信访投诉，</w:t>
      </w:r>
      <w:r>
        <w:rPr>
          <w:rFonts w:hint="eastAsia" w:ascii="仿宋_GB2312" w:hAnsi="仿宋_GB2312" w:eastAsia="仿宋_GB2312" w:cs="仿宋_GB2312"/>
          <w:sz w:val="32"/>
          <w:szCs w:val="32"/>
          <w:lang w:val="en-US" w:eastAsia="zh-CN"/>
        </w:rPr>
        <w:t>并及时有效处置</w:t>
      </w:r>
      <w:r>
        <w:rPr>
          <w:rFonts w:hint="eastAsia" w:ascii="仿宋_GB2312" w:hAnsi="仿宋_GB2312" w:eastAsia="仿宋_GB2312" w:cs="仿宋_GB2312"/>
          <w:sz w:val="32"/>
          <w:szCs w:val="32"/>
          <w:lang w:eastAsia="zh-CN"/>
        </w:rPr>
        <w:t>。</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2023年，在新港区党工委和市城管局党组的正确领导下，分局上下团结一心，踔厉奋发，以“六大城管”工作理念为指引，以港区年度工作要点为总揽，紧扣全年工作思路，聚焦争创一流目标，圆满完成了年初预定的各项工作任务，市容市貌日新月异、管理职能全面强化、重点工作扎实推进、城市设施不断完善，</w:t>
      </w:r>
      <w:r>
        <w:rPr>
          <w:rFonts w:hint="eastAsia" w:ascii="仿宋_GB2312" w:hAnsi="仿宋_GB2312" w:eastAsia="仿宋_GB2312" w:cs="仿宋_GB2312"/>
          <w:color w:val="333333"/>
          <w:sz w:val="32"/>
          <w:szCs w:val="32"/>
          <w:shd w:val="clear" w:color="auto" w:fill="FFFFFF"/>
          <w:lang w:val="en-US" w:eastAsia="zh-CN"/>
        </w:rPr>
        <w:t>积极</w:t>
      </w:r>
      <w:r>
        <w:rPr>
          <w:rFonts w:hint="eastAsia" w:ascii="仿宋_GB2312" w:hAnsi="仿宋_GB2312" w:eastAsia="仿宋_GB2312" w:cs="仿宋_GB2312"/>
          <w:color w:val="333333"/>
          <w:sz w:val="32"/>
          <w:szCs w:val="32"/>
          <w:shd w:val="clear" w:color="auto" w:fill="FFFFFF"/>
        </w:rPr>
        <w:t>推</w:t>
      </w:r>
      <w:r>
        <w:rPr>
          <w:rFonts w:hint="eastAsia" w:ascii="仿宋_GB2312" w:hAnsi="仿宋_GB2312" w:eastAsia="仿宋_GB2312" w:cs="仿宋_GB2312"/>
          <w:color w:val="333333"/>
          <w:sz w:val="32"/>
          <w:szCs w:val="32"/>
          <w:shd w:val="clear" w:color="auto" w:fill="FFFFFF"/>
          <w:lang w:val="en-US" w:eastAsia="zh-CN"/>
        </w:rPr>
        <w:t>动了城陵矶新港区城市管理</w:t>
      </w:r>
      <w:r>
        <w:rPr>
          <w:rFonts w:hint="eastAsia" w:ascii="仿宋_GB2312" w:hAnsi="仿宋_GB2312" w:eastAsia="仿宋_GB2312" w:cs="仿宋_GB2312"/>
          <w:color w:val="333333"/>
          <w:sz w:val="32"/>
          <w:szCs w:val="32"/>
          <w:shd w:val="clear" w:color="auto" w:fill="FFFFFF"/>
        </w:rPr>
        <w:t>事业发展</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改善了港区城市居住环境，优化了营商环境，助力了招商引资，得到了城陵矶新港区领导和市民的普遍赞誉</w:t>
      </w:r>
      <w:r>
        <w:rPr>
          <w:rFonts w:hint="eastAsia" w:ascii="仿宋_GB2312" w:hAnsi="仿宋_GB2312" w:eastAsia="仿宋_GB2312" w:cs="仿宋_GB2312"/>
          <w:color w:val="333333"/>
          <w:sz w:val="32"/>
          <w:szCs w:val="32"/>
          <w:shd w:val="clear" w:color="auto" w:fill="FFFFFF"/>
        </w:rPr>
        <w:t>。</w:t>
      </w: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default" w:ascii="Times New Roman" w:hAnsi="Times New Roman" w:eastAsia="仿宋_GB2312" w:cs="Times New Roman"/>
          <w:sz w:val="32"/>
          <w:szCs w:val="32"/>
        </w:rPr>
        <w:t>政府采购</w:t>
      </w:r>
      <w:r>
        <w:rPr>
          <w:rFonts w:hint="eastAsia" w:ascii="Times New Roman" w:hAnsi="Times New Roman" w:eastAsia="仿宋_GB2312" w:cs="Times New Roman"/>
          <w:sz w:val="32"/>
          <w:szCs w:val="32"/>
          <w:lang w:val="en-US" w:eastAsia="zh-CN"/>
        </w:rPr>
        <w:t>预算数和实际支出数存在较大差异，主要原因为对政府采购相关制度学习不够深入，对来年工作预计不足，导致预算数和实际执行数存在较大差异</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Times New Roman" w:hAnsi="Times New Roman" w:eastAsia="仿宋_GB2312" w:cs="Times New Roman"/>
          <w:sz w:val="32"/>
          <w:szCs w:val="32"/>
          <w:lang w:val="en-US" w:eastAsia="zh-CN"/>
        </w:rPr>
        <w:t>港区城乡结合部部分城市基础设施有待进一步优化。主要原因为近几年来港区城市建设发展速度较快，城市配套设施建设没有及时跟上。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仿宋_GB2312" w:eastAsia="仿宋_GB2312" w:cs="仿宋_GB2312"/>
          <w:sz w:val="32"/>
          <w:szCs w:val="32"/>
          <w:lang w:val="en-US" w:eastAsia="zh-CN"/>
        </w:rPr>
        <w:t>加强政府采购相关制度学习，认真分析来年相关工作，合理预计政府采购预算，提升政府采购预算质量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加强港区项目资金管理，合理调配资金投入方向，加大城乡结合部配套设施建设投入，进一步优化港区城市配套设施建设。同时，强化考评监督，提升资金支出绩效。</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2023年预算绩效管理开展情况、绩效目标和绩效评价报告等，已在市政府部门财政预决算公开平台上向社会公开，详见附件。</w:t>
      </w:r>
    </w:p>
    <w:p>
      <w:pPr>
        <w:pStyle w:val="15"/>
        <w:jc w:val="both"/>
        <w:rPr>
          <w:sz w:val="72"/>
          <w:szCs w:val="72"/>
        </w:rPr>
      </w:pPr>
    </w:p>
    <w:p>
      <w:pPr>
        <w:pStyle w:val="15"/>
        <w:ind w:firstLine="2400" w:firstLineChars="500"/>
        <w:jc w:val="both"/>
        <w:rPr>
          <w:rFonts w:hint="eastAsia" w:ascii="方正小标宋简体" w:hAnsi="方正小标宋简体" w:eastAsia="方正小标宋简体" w:cs="方正小标宋简体"/>
          <w:b/>
          <w:bCs/>
          <w:sz w:val="70"/>
          <w:szCs w:val="70"/>
          <w:lang w:eastAsia="zh-CN"/>
        </w:rPr>
      </w:pPr>
      <w:r>
        <w:rPr>
          <w:rFonts w:hint="eastAsia" w:ascii="方正小标宋简体" w:hAnsi="方正小标宋简体" w:eastAsia="方正小标宋简体" w:cs="方正小标宋简体"/>
          <w:b/>
          <w:bCs/>
          <w:sz w:val="48"/>
          <w:szCs w:val="48"/>
        </w:rPr>
        <w:t>第四部分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color w:val="000000"/>
          <w:kern w:val="0"/>
          <w:sz w:val="48"/>
          <w:szCs w:val="48"/>
        </w:rPr>
        <w:t>名词解释</w:t>
      </w:r>
    </w:p>
    <w:p/>
    <w:p>
      <w:pPr>
        <w:pStyle w:val="10"/>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15"/>
        <w:jc w:val="center"/>
        <w:rPr>
          <w:rFonts w:hint="eastAsia" w:ascii="仿宋_GB2312" w:hAnsi="仿宋_GB2312" w:eastAsia="仿宋_GB2312" w:cs="仿宋_GB2312"/>
          <w:sz w:val="32"/>
          <w:szCs w:val="32"/>
        </w:rPr>
      </w:pPr>
    </w:p>
    <w:p>
      <w:pPr>
        <w:pStyle w:val="6"/>
      </w:pPr>
    </w:p>
    <w:p>
      <w:pPr>
        <w:pStyle w:val="6"/>
        <w:ind w:left="0" w:leftChars="0" w:firstLine="0" w:firstLineChars="0"/>
      </w:pPr>
    </w:p>
    <w:p>
      <w:pPr>
        <w:pStyle w:val="15"/>
        <w:jc w:val="center"/>
        <w:rPr>
          <w:rFonts w:hint="eastAsia" w:ascii="方正小标宋简体" w:hAnsi="方正小标宋简体" w:eastAsia="方正小标宋简体" w:cs="方正小标宋简体"/>
          <w:b/>
          <w:bCs/>
          <w:sz w:val="48"/>
          <w:szCs w:val="48"/>
          <w:lang w:eastAsia="zh-CN"/>
        </w:rPr>
      </w:pPr>
      <w:r>
        <w:rPr>
          <w:rFonts w:hint="eastAsia" w:ascii="方正小标宋简体" w:hAnsi="方正小标宋简体" w:eastAsia="方正小标宋简体" w:cs="方正小标宋简体"/>
          <w:b/>
          <w:bCs/>
          <w:sz w:val="48"/>
          <w:szCs w:val="48"/>
        </w:rPr>
        <w:t>第</w:t>
      </w:r>
      <w:r>
        <w:rPr>
          <w:rFonts w:hint="eastAsia" w:ascii="方正小标宋简体" w:hAnsi="方正小标宋简体" w:eastAsia="方正小标宋简体" w:cs="方正小标宋简体"/>
          <w:b/>
          <w:bCs/>
          <w:sz w:val="48"/>
          <w:szCs w:val="48"/>
          <w:lang w:eastAsia="zh-CN"/>
        </w:rPr>
        <w:t>五</w:t>
      </w:r>
      <w:r>
        <w:rPr>
          <w:rFonts w:hint="eastAsia" w:ascii="方正小标宋简体" w:hAnsi="方正小标宋简体" w:eastAsia="方正小标宋简体" w:cs="方正小标宋简体"/>
          <w:b/>
          <w:bCs/>
          <w:sz w:val="48"/>
          <w:szCs w:val="48"/>
        </w:rPr>
        <w:t>部分</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lang w:eastAsia="zh-CN"/>
        </w:rPr>
        <w:t>附</w:t>
      </w:r>
      <w:r>
        <w:rPr>
          <w:rFonts w:hint="eastAsia" w:ascii="方正小标宋简体" w:hAnsi="方正小标宋简体" w:eastAsia="方正小标宋简体" w:cs="方正小标宋简体"/>
          <w:b/>
          <w:bCs/>
          <w:sz w:val="48"/>
          <w:szCs w:val="48"/>
          <w:lang w:val="en-US" w:eastAsia="zh-CN"/>
        </w:rPr>
        <w:t xml:space="preserve"> </w:t>
      </w:r>
      <w:r>
        <w:rPr>
          <w:rFonts w:hint="eastAsia" w:ascii="方正小标宋简体" w:hAnsi="方正小标宋简体" w:eastAsia="方正小标宋简体" w:cs="方正小标宋简体"/>
          <w:b/>
          <w:bCs/>
          <w:sz w:val="48"/>
          <w:szCs w:val="48"/>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B643A"/>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6D6AC7"/>
    <w:rsid w:val="01FA65AD"/>
    <w:rsid w:val="03541CED"/>
    <w:rsid w:val="04115E30"/>
    <w:rsid w:val="04293179"/>
    <w:rsid w:val="045126D0"/>
    <w:rsid w:val="051554AC"/>
    <w:rsid w:val="059958AD"/>
    <w:rsid w:val="05C15155"/>
    <w:rsid w:val="05C84C14"/>
    <w:rsid w:val="06C857E7"/>
    <w:rsid w:val="06C929F2"/>
    <w:rsid w:val="07043A2A"/>
    <w:rsid w:val="07097292"/>
    <w:rsid w:val="07702E6D"/>
    <w:rsid w:val="07E15B19"/>
    <w:rsid w:val="08C24A73"/>
    <w:rsid w:val="094F6915"/>
    <w:rsid w:val="096F2483"/>
    <w:rsid w:val="09FE7206"/>
    <w:rsid w:val="0A3463D4"/>
    <w:rsid w:val="0B291CB1"/>
    <w:rsid w:val="0C3C5A14"/>
    <w:rsid w:val="0CC47EE3"/>
    <w:rsid w:val="0E9E6512"/>
    <w:rsid w:val="10675755"/>
    <w:rsid w:val="12583BA5"/>
    <w:rsid w:val="127001C5"/>
    <w:rsid w:val="13806B2E"/>
    <w:rsid w:val="13BA5B9C"/>
    <w:rsid w:val="14212815"/>
    <w:rsid w:val="156A1844"/>
    <w:rsid w:val="158E5532"/>
    <w:rsid w:val="18463EA2"/>
    <w:rsid w:val="197902A7"/>
    <w:rsid w:val="1A271AB1"/>
    <w:rsid w:val="1AC1346E"/>
    <w:rsid w:val="1AF04599"/>
    <w:rsid w:val="1B4D5548"/>
    <w:rsid w:val="1C913B5A"/>
    <w:rsid w:val="1D97DEFF"/>
    <w:rsid w:val="1DFF72E5"/>
    <w:rsid w:val="1E957810"/>
    <w:rsid w:val="1EFC6F07"/>
    <w:rsid w:val="1F0527A6"/>
    <w:rsid w:val="1F95570F"/>
    <w:rsid w:val="1FD9384E"/>
    <w:rsid w:val="203B1E13"/>
    <w:rsid w:val="21A32365"/>
    <w:rsid w:val="220D3C83"/>
    <w:rsid w:val="22A04AF7"/>
    <w:rsid w:val="22AC03C2"/>
    <w:rsid w:val="22D10D3B"/>
    <w:rsid w:val="2338088B"/>
    <w:rsid w:val="237F2AF5"/>
    <w:rsid w:val="23877818"/>
    <w:rsid w:val="23D762F6"/>
    <w:rsid w:val="24AA7714"/>
    <w:rsid w:val="27005B64"/>
    <w:rsid w:val="27433E1F"/>
    <w:rsid w:val="29253660"/>
    <w:rsid w:val="2A510485"/>
    <w:rsid w:val="2BCF3D57"/>
    <w:rsid w:val="2C970D19"/>
    <w:rsid w:val="2D687FBF"/>
    <w:rsid w:val="2E341646"/>
    <w:rsid w:val="2F34284F"/>
    <w:rsid w:val="2F77098D"/>
    <w:rsid w:val="2F8C4439"/>
    <w:rsid w:val="2FDF85B8"/>
    <w:rsid w:val="2FFFEE04"/>
    <w:rsid w:val="3143321D"/>
    <w:rsid w:val="31C95635"/>
    <w:rsid w:val="32E63B78"/>
    <w:rsid w:val="34DF85B0"/>
    <w:rsid w:val="35415CC5"/>
    <w:rsid w:val="35F4454A"/>
    <w:rsid w:val="35FD055A"/>
    <w:rsid w:val="38A8605B"/>
    <w:rsid w:val="39FF3F0D"/>
    <w:rsid w:val="3AB6680E"/>
    <w:rsid w:val="3ACA22B9"/>
    <w:rsid w:val="3B8F36BC"/>
    <w:rsid w:val="3C1C08F2"/>
    <w:rsid w:val="3C3C0F95"/>
    <w:rsid w:val="3D4B5BF8"/>
    <w:rsid w:val="3EEA117C"/>
    <w:rsid w:val="3F8C3FE1"/>
    <w:rsid w:val="40532D51"/>
    <w:rsid w:val="409475F1"/>
    <w:rsid w:val="40DB5220"/>
    <w:rsid w:val="41517290"/>
    <w:rsid w:val="417E7959"/>
    <w:rsid w:val="420E5181"/>
    <w:rsid w:val="429F5DD9"/>
    <w:rsid w:val="42E67EAC"/>
    <w:rsid w:val="44A74B8D"/>
    <w:rsid w:val="464167C7"/>
    <w:rsid w:val="469D3E2C"/>
    <w:rsid w:val="487922F5"/>
    <w:rsid w:val="48E820E7"/>
    <w:rsid w:val="491FF225"/>
    <w:rsid w:val="49B66CB5"/>
    <w:rsid w:val="4A690F84"/>
    <w:rsid w:val="4AA246B9"/>
    <w:rsid w:val="4B15546E"/>
    <w:rsid w:val="4B8F7333"/>
    <w:rsid w:val="4BBC17AA"/>
    <w:rsid w:val="4D1D271C"/>
    <w:rsid w:val="4D7A7B6F"/>
    <w:rsid w:val="4DEE5FFD"/>
    <w:rsid w:val="4FFD214C"/>
    <w:rsid w:val="5078463B"/>
    <w:rsid w:val="50813D91"/>
    <w:rsid w:val="508A43A8"/>
    <w:rsid w:val="51BD002A"/>
    <w:rsid w:val="523E560F"/>
    <w:rsid w:val="5352765A"/>
    <w:rsid w:val="55A82D9F"/>
    <w:rsid w:val="562468CA"/>
    <w:rsid w:val="56779743"/>
    <w:rsid w:val="56EA18C1"/>
    <w:rsid w:val="5777D4F5"/>
    <w:rsid w:val="577A78B6"/>
    <w:rsid w:val="58975A79"/>
    <w:rsid w:val="59126EAD"/>
    <w:rsid w:val="59245F87"/>
    <w:rsid w:val="59DD8326"/>
    <w:rsid w:val="59EED172"/>
    <w:rsid w:val="5A6000EC"/>
    <w:rsid w:val="5BD4669C"/>
    <w:rsid w:val="5BE96A18"/>
    <w:rsid w:val="5CBBA90D"/>
    <w:rsid w:val="5D415FB3"/>
    <w:rsid w:val="5DAF5D7C"/>
    <w:rsid w:val="5DEF592A"/>
    <w:rsid w:val="5E196F30"/>
    <w:rsid w:val="5EC073AC"/>
    <w:rsid w:val="5ED90B77"/>
    <w:rsid w:val="5EDF5A84"/>
    <w:rsid w:val="5F2A54AE"/>
    <w:rsid w:val="5F3A0F0C"/>
    <w:rsid w:val="5FC6BB1E"/>
    <w:rsid w:val="5FD70E51"/>
    <w:rsid w:val="5FF720F1"/>
    <w:rsid w:val="60157F31"/>
    <w:rsid w:val="61AC4020"/>
    <w:rsid w:val="61B9080E"/>
    <w:rsid w:val="61CA398F"/>
    <w:rsid w:val="630F445E"/>
    <w:rsid w:val="637D586B"/>
    <w:rsid w:val="6416019A"/>
    <w:rsid w:val="6632293D"/>
    <w:rsid w:val="67780823"/>
    <w:rsid w:val="67C223E6"/>
    <w:rsid w:val="67FF5C0B"/>
    <w:rsid w:val="68401A3B"/>
    <w:rsid w:val="68E8077D"/>
    <w:rsid w:val="691C0095"/>
    <w:rsid w:val="69660AF2"/>
    <w:rsid w:val="69E76134"/>
    <w:rsid w:val="6A0E1913"/>
    <w:rsid w:val="6A3658CC"/>
    <w:rsid w:val="6B321631"/>
    <w:rsid w:val="6B5D5483"/>
    <w:rsid w:val="6BAA4A2F"/>
    <w:rsid w:val="6CA420BB"/>
    <w:rsid w:val="6E2434B3"/>
    <w:rsid w:val="6E511E41"/>
    <w:rsid w:val="6EFC0924"/>
    <w:rsid w:val="6FB74722"/>
    <w:rsid w:val="6FEF8B7E"/>
    <w:rsid w:val="6FFD1148"/>
    <w:rsid w:val="70090BB2"/>
    <w:rsid w:val="7020414E"/>
    <w:rsid w:val="710D6C9C"/>
    <w:rsid w:val="7199217D"/>
    <w:rsid w:val="71A6591B"/>
    <w:rsid w:val="735C36EF"/>
    <w:rsid w:val="736D3206"/>
    <w:rsid w:val="737D59BA"/>
    <w:rsid w:val="737F32B1"/>
    <w:rsid w:val="74962C31"/>
    <w:rsid w:val="75263FB5"/>
    <w:rsid w:val="7568355A"/>
    <w:rsid w:val="75A4312B"/>
    <w:rsid w:val="762322A2"/>
    <w:rsid w:val="76BB24DB"/>
    <w:rsid w:val="77B77146"/>
    <w:rsid w:val="77C37683"/>
    <w:rsid w:val="78A23EFE"/>
    <w:rsid w:val="794E7472"/>
    <w:rsid w:val="79752E15"/>
    <w:rsid w:val="797D616D"/>
    <w:rsid w:val="797E71E7"/>
    <w:rsid w:val="79BC21A1"/>
    <w:rsid w:val="79BFB2E7"/>
    <w:rsid w:val="79E04B2F"/>
    <w:rsid w:val="79FF515B"/>
    <w:rsid w:val="7A3C3932"/>
    <w:rsid w:val="7B4C10B7"/>
    <w:rsid w:val="7B767D96"/>
    <w:rsid w:val="7C1D1542"/>
    <w:rsid w:val="7D4F0A11"/>
    <w:rsid w:val="7DDF11A4"/>
    <w:rsid w:val="7E55C360"/>
    <w:rsid w:val="7E9E1962"/>
    <w:rsid w:val="7E9F11B4"/>
    <w:rsid w:val="7EF018A5"/>
    <w:rsid w:val="7EFEBE7E"/>
    <w:rsid w:val="7F0A2251"/>
    <w:rsid w:val="7F37EC1E"/>
    <w:rsid w:val="7F7DCD9D"/>
    <w:rsid w:val="7F970A6F"/>
    <w:rsid w:val="7F9E2999"/>
    <w:rsid w:val="7FB650CD"/>
    <w:rsid w:val="7FC1FFF3"/>
    <w:rsid w:val="7FC69637"/>
    <w:rsid w:val="7FD501AB"/>
    <w:rsid w:val="7FDF8620"/>
    <w:rsid w:val="7FE4F297"/>
    <w:rsid w:val="7FFB242F"/>
    <w:rsid w:val="7FFBF46A"/>
    <w:rsid w:val="7FFDB408"/>
    <w:rsid w:val="7FFE4EEB"/>
    <w:rsid w:val="95FB2B98"/>
    <w:rsid w:val="97DCEA56"/>
    <w:rsid w:val="9A639BC2"/>
    <w:rsid w:val="9FF7D786"/>
    <w:rsid w:val="ABBFB23D"/>
    <w:rsid w:val="AEEB780A"/>
    <w:rsid w:val="BB1000B2"/>
    <w:rsid w:val="BDCD83EC"/>
    <w:rsid w:val="C3B4DA5A"/>
    <w:rsid w:val="C7DB3988"/>
    <w:rsid w:val="CBFF70E0"/>
    <w:rsid w:val="CFF50B82"/>
    <w:rsid w:val="CFFFAD89"/>
    <w:rsid w:val="D3C93BD7"/>
    <w:rsid w:val="D7BBEF3C"/>
    <w:rsid w:val="D7DDF22E"/>
    <w:rsid w:val="DFBFC8FE"/>
    <w:rsid w:val="DFFE359E"/>
    <w:rsid w:val="DFFE4FFD"/>
    <w:rsid w:val="E6FFEAF5"/>
    <w:rsid w:val="ECFF1745"/>
    <w:rsid w:val="EDBE314F"/>
    <w:rsid w:val="EEABED75"/>
    <w:rsid w:val="EFF5727C"/>
    <w:rsid w:val="F2FBEFB3"/>
    <w:rsid w:val="F56FDF51"/>
    <w:rsid w:val="F6B69F17"/>
    <w:rsid w:val="F77F1D61"/>
    <w:rsid w:val="F7FED3A9"/>
    <w:rsid w:val="F8C9DB26"/>
    <w:rsid w:val="F97E8EAE"/>
    <w:rsid w:val="FB36E1A6"/>
    <w:rsid w:val="FB3BE134"/>
    <w:rsid w:val="FCFF4275"/>
    <w:rsid w:val="FD7FEEEA"/>
    <w:rsid w:val="FDF72A66"/>
    <w:rsid w:val="FDFFB577"/>
    <w:rsid w:val="FED6D563"/>
    <w:rsid w:val="FEDE84E8"/>
    <w:rsid w:val="FEEA50FE"/>
    <w:rsid w:val="FF39ECBA"/>
    <w:rsid w:val="FF56DDC1"/>
    <w:rsid w:val="FF7D47A9"/>
    <w:rsid w:val="FFCF21CB"/>
    <w:rsid w:val="FFDFB231"/>
    <w:rsid w:val="FFE9D37A"/>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toa heading"/>
    <w:basedOn w:val="1"/>
    <w:next w:val="1"/>
    <w:unhideWhenUsed/>
    <w:qFormat/>
    <w:uiPriority w:val="99"/>
    <w:pPr>
      <w:spacing w:before="120" w:after="20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Balloon Text"/>
    <w:basedOn w:val="1"/>
    <w:link w:val="17"/>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6"/>
    <w:semiHidden/>
    <w:qFormat/>
    <w:uiPriority w:val="0"/>
    <w:pPr>
      <w:snapToGrid w:val="0"/>
      <w:jc w:val="left"/>
    </w:pPr>
    <w:rPr>
      <w:sz w:val="18"/>
      <w:szCs w:val="18"/>
    </w:r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7"/>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5776</Words>
  <Characters>6214</Characters>
  <Lines>63</Lines>
  <Paragraphs>18</Paragraphs>
  <TotalTime>8</TotalTime>
  <ScaleCrop>false</ScaleCrop>
  <LinksUpToDate>false</LinksUpToDate>
  <CharactersWithSpaces>6249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TCB003</cp:lastModifiedBy>
  <cp:lastPrinted>2024-08-08T18:20:00Z</cp:lastPrinted>
  <dcterms:modified xsi:type="dcterms:W3CDTF">2024-09-18T15:20:15Z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