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668" w:rsidRDefault="00C817C7" w:rsidP="000A1A3D">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2023年度岳阳市不动产登记中心</w:t>
      </w:r>
    </w:p>
    <w:p w:rsidR="004E0668" w:rsidRDefault="00C817C7">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整体支出绩效自评报告</w:t>
      </w:r>
    </w:p>
    <w:p w:rsidR="004E0668" w:rsidRDefault="004E0668">
      <w:pPr>
        <w:spacing w:line="640" w:lineRule="exact"/>
        <w:ind w:firstLineChars="200" w:firstLine="640"/>
        <w:rPr>
          <w:rFonts w:ascii="Times New Roman" w:eastAsia="仿宋_GB2312" w:hAnsi="Times New Roman"/>
          <w:sz w:val="32"/>
          <w:szCs w:val="32"/>
        </w:rPr>
      </w:pPr>
    </w:p>
    <w:p w:rsidR="004E0668" w:rsidRDefault="00C817C7">
      <w:pPr>
        <w:numPr>
          <w:ilvl w:val="0"/>
          <w:numId w:val="2"/>
        </w:numPr>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部门基本情况</w:t>
      </w:r>
    </w:p>
    <w:p w:rsidR="004E0668" w:rsidRDefault="00C817C7">
      <w:pPr>
        <w:spacing w:line="640" w:lineRule="exact"/>
        <w:ind w:firstLineChars="200" w:firstLine="643"/>
        <w:rPr>
          <w:rFonts w:ascii="Times New Roman" w:eastAsia="楷体_GB2312" w:hAnsi="Times New Roman"/>
          <w:b/>
          <w:sz w:val="32"/>
          <w:szCs w:val="32"/>
        </w:rPr>
      </w:pPr>
      <w:r>
        <w:rPr>
          <w:rFonts w:ascii="Times New Roman" w:eastAsia="楷体_GB2312" w:hAnsi="Times New Roman"/>
          <w:b/>
          <w:sz w:val="32"/>
          <w:szCs w:val="32"/>
        </w:rPr>
        <w:t>（一）职能职责</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、宣传贯彻实施国家、省、市关于不动产登记的方针政策和法律法规。</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、负责市本级内</w:t>
      </w:r>
      <w:r>
        <w:rPr>
          <w:rFonts w:ascii="Times New Roman" w:eastAsia="仿宋_GB2312" w:hAnsi="Times New Roman"/>
          <w:color w:val="000000"/>
          <w:sz w:val="32"/>
          <w:szCs w:val="32"/>
        </w:rPr>
        <w:t>(</w:t>
      </w:r>
      <w:r>
        <w:rPr>
          <w:rFonts w:ascii="Times New Roman" w:eastAsia="仿宋_GB2312" w:hAnsi="Times New Roman"/>
          <w:color w:val="000000"/>
          <w:sz w:val="32"/>
          <w:szCs w:val="32"/>
        </w:rPr>
        <w:t>含岳阳楼区、经开区、南湖新区</w:t>
      </w:r>
      <w:r>
        <w:rPr>
          <w:rFonts w:ascii="Times New Roman" w:eastAsia="仿宋_GB2312" w:hAnsi="Times New Roman"/>
          <w:color w:val="000000"/>
          <w:sz w:val="32"/>
          <w:szCs w:val="32"/>
        </w:rPr>
        <w:t>)</w:t>
      </w:r>
      <w:r>
        <w:rPr>
          <w:rFonts w:ascii="Times New Roman" w:eastAsia="仿宋_GB2312" w:hAnsi="Times New Roman"/>
          <w:color w:val="000000"/>
          <w:sz w:val="32"/>
          <w:szCs w:val="32"/>
        </w:rPr>
        <w:t>不动产交易登记业务的统一受理、审核与登簿发证等事务性工作。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、负责拟订市本级不动产交易登记业务规范和工作流程。</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w:t>
      </w:r>
      <w:r>
        <w:rPr>
          <w:rFonts w:ascii="Times New Roman" w:eastAsia="仿宋_GB2312" w:hAnsi="Times New Roman"/>
          <w:color w:val="000000"/>
          <w:sz w:val="32"/>
          <w:szCs w:val="32"/>
        </w:rPr>
        <w:t>、配合调处市本级不动产权属争议及交易纠纷。</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w:t>
      </w:r>
      <w:r>
        <w:rPr>
          <w:rFonts w:ascii="Times New Roman" w:eastAsia="仿宋_GB2312" w:hAnsi="Times New Roman"/>
          <w:color w:val="000000"/>
          <w:sz w:val="32"/>
          <w:szCs w:val="32"/>
        </w:rPr>
        <w:t>、负责不动产登记数据资料统计、分析、整理、保管和备份，以及不动产登记档案的收集、移交。</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6</w:t>
      </w:r>
      <w:r>
        <w:rPr>
          <w:rFonts w:ascii="Times New Roman" w:eastAsia="仿宋_GB2312" w:hAnsi="Times New Roman"/>
          <w:color w:val="000000"/>
          <w:sz w:val="32"/>
          <w:szCs w:val="32"/>
        </w:rPr>
        <w:t>、承办市委、市人民政府及市自然资源和规划局交办的其他工作。</w:t>
      </w:r>
    </w:p>
    <w:p w:rsidR="004E0668" w:rsidRDefault="00C817C7">
      <w:pPr>
        <w:spacing w:line="640" w:lineRule="exact"/>
        <w:ind w:firstLineChars="200" w:firstLine="643"/>
        <w:rPr>
          <w:rFonts w:ascii="Times New Roman" w:eastAsia="楷体_GB2312" w:hAnsi="Times New Roman"/>
          <w:b/>
          <w:sz w:val="32"/>
          <w:szCs w:val="32"/>
        </w:rPr>
      </w:pPr>
      <w:r>
        <w:rPr>
          <w:rFonts w:ascii="Times New Roman" w:eastAsia="楷体_GB2312" w:hAnsi="Times New Roman"/>
          <w:b/>
          <w:sz w:val="32"/>
          <w:szCs w:val="32"/>
        </w:rPr>
        <w:t>（二）机构设置</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我中心设两个分支机构和</w:t>
      </w:r>
      <w:r>
        <w:rPr>
          <w:rFonts w:ascii="Times New Roman" w:eastAsia="仿宋_GB2312" w:hAnsi="Times New Roman"/>
          <w:color w:val="000000"/>
          <w:sz w:val="32"/>
          <w:szCs w:val="32"/>
        </w:rPr>
        <w:t>9</w:t>
      </w:r>
      <w:r>
        <w:rPr>
          <w:rFonts w:ascii="Times New Roman" w:eastAsia="仿宋_GB2312" w:hAnsi="Times New Roman"/>
          <w:color w:val="000000"/>
          <w:sz w:val="32"/>
          <w:szCs w:val="32"/>
        </w:rPr>
        <w:t>个部室。</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、两个分支机构</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⑴</w:t>
      </w:r>
      <w:r>
        <w:rPr>
          <w:rFonts w:ascii="Times New Roman" w:eastAsia="仿宋_GB2312" w:hAnsi="Times New Roman"/>
          <w:color w:val="000000"/>
          <w:sz w:val="32"/>
          <w:szCs w:val="32"/>
        </w:rPr>
        <w:t>、岳阳市自然资源交易中心</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负责全市有关自然资源交易、集体土地经营权的流转，矿产资源的转让等相关事务性工作。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⑵</w:t>
      </w:r>
      <w:r>
        <w:rPr>
          <w:rFonts w:ascii="Times New Roman" w:eastAsia="仿宋_GB2312" w:hAnsi="Times New Roman"/>
          <w:color w:val="000000"/>
          <w:sz w:val="32"/>
          <w:szCs w:val="32"/>
        </w:rPr>
        <w:t>、岳阳市不动产登记信息中心</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负责不动产登记综合平台的建设和管理，不动产基础信息的统计和监测，推动不动产信息共享集成等工作。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w:t>
      </w:r>
      <w:r>
        <w:rPr>
          <w:rFonts w:ascii="Times New Roman" w:eastAsia="仿宋_GB2312" w:hAnsi="Times New Roman"/>
          <w:color w:val="000000"/>
          <w:sz w:val="32"/>
          <w:szCs w:val="32"/>
        </w:rPr>
        <w:t>9</w:t>
      </w:r>
      <w:r>
        <w:rPr>
          <w:rFonts w:ascii="Times New Roman" w:eastAsia="仿宋_GB2312" w:hAnsi="Times New Roman"/>
          <w:color w:val="000000"/>
          <w:sz w:val="32"/>
          <w:szCs w:val="32"/>
        </w:rPr>
        <w:t>个内设部室</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⑴</w:t>
      </w:r>
      <w:r>
        <w:rPr>
          <w:rFonts w:ascii="Times New Roman" w:eastAsia="仿宋_GB2312" w:hAnsi="Times New Roman"/>
          <w:color w:val="000000"/>
          <w:sz w:val="32"/>
          <w:szCs w:val="32"/>
        </w:rPr>
        <w:t>、综合部</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负责文秘、会务、宣传、后勤等综合管理及人事管理、思想政治、党群等工作。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⑵</w:t>
      </w:r>
      <w:r>
        <w:rPr>
          <w:rFonts w:ascii="Times New Roman" w:eastAsia="仿宋_GB2312" w:hAnsi="Times New Roman"/>
          <w:color w:val="000000"/>
          <w:sz w:val="32"/>
          <w:szCs w:val="32"/>
        </w:rPr>
        <w:t>、财务部</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负责年度收支核算、收费审核、固定资产登记等工作</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负责综合统计及财务统计工作</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负责保管会计凭证账簿、报表等财务档案资料。</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⑶</w:t>
      </w:r>
      <w:r>
        <w:rPr>
          <w:rFonts w:ascii="Times New Roman" w:eastAsia="仿宋_GB2312" w:hAnsi="Times New Roman"/>
          <w:color w:val="000000"/>
          <w:sz w:val="32"/>
          <w:szCs w:val="32"/>
        </w:rPr>
        <w:t>、受理部</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负责市本级的土地、房屋、林地等不动产登记业务的咨询、受理、初审、收费、缮证、证书发放等工作</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负责做好不动产权利证书管理</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负责不动产登记办事窗口的日常管理工作。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⑷</w:t>
      </w:r>
      <w:r>
        <w:rPr>
          <w:rFonts w:ascii="Times New Roman" w:eastAsia="仿宋_GB2312" w:hAnsi="Times New Roman"/>
          <w:color w:val="000000"/>
          <w:sz w:val="32"/>
          <w:szCs w:val="32"/>
        </w:rPr>
        <w:t>、登记一部</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负责不动产首次登记业务的审核、登簿，做好上述不动产登记档案资料的移交工作。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⑸</w:t>
      </w:r>
      <w:r>
        <w:rPr>
          <w:rFonts w:ascii="Times New Roman" w:eastAsia="仿宋_GB2312" w:hAnsi="Times New Roman"/>
          <w:color w:val="000000"/>
          <w:sz w:val="32"/>
          <w:szCs w:val="32"/>
        </w:rPr>
        <w:t>、登记二部</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负责不动产变更登记、转移登记、更正登记等业务的受理、审核、登簿</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做好上述不动产登记档案资料的移交工作。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⑹</w:t>
      </w:r>
      <w:r>
        <w:rPr>
          <w:rFonts w:ascii="Times New Roman" w:eastAsia="仿宋_GB2312" w:hAnsi="Times New Roman"/>
          <w:color w:val="000000"/>
          <w:sz w:val="32"/>
          <w:szCs w:val="32"/>
        </w:rPr>
        <w:t>、登记三部</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负责不动产抵押登记、预告登记、异议登记、注销登记、查封登记等业务的受理、审核、登簿</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做好上述不动产登记档案资料的移交工作。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⑺</w:t>
      </w:r>
      <w:r>
        <w:rPr>
          <w:rFonts w:ascii="Times New Roman" w:eastAsia="仿宋_GB2312" w:hAnsi="Times New Roman"/>
          <w:color w:val="000000"/>
          <w:sz w:val="32"/>
          <w:szCs w:val="32"/>
        </w:rPr>
        <w:t>、权籍调查部</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承担市本级范围内涉及土地、房屋、林地等不动产登记的实地查勘、权籍调查工作</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负责权籍调查数据和测绘数据更新、入库和管理工作。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⑻</w:t>
      </w:r>
      <w:r>
        <w:rPr>
          <w:rFonts w:ascii="Times New Roman" w:eastAsia="仿宋_GB2312" w:hAnsi="Times New Roman"/>
          <w:color w:val="000000"/>
          <w:sz w:val="32"/>
          <w:szCs w:val="32"/>
        </w:rPr>
        <w:t>、法规部</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参与拟订不动产确权、权属争议调处地方性政策；配合、协助有关行政机关调处不动产权属争议；组织不动产登记法制宣传教育</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负责涉及不动产登记的行政复议、行政应诉和行政执法监督工作。</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⑼</w:t>
      </w:r>
      <w:r>
        <w:rPr>
          <w:rFonts w:ascii="Times New Roman" w:eastAsia="仿宋_GB2312" w:hAnsi="Times New Roman"/>
          <w:color w:val="000000"/>
          <w:sz w:val="32"/>
          <w:szCs w:val="32"/>
        </w:rPr>
        <w:t>、信息档案部</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负责不动产权证书的购置、保管、分发等管理工作；负责对市本级不动产登记发证质量的检查、审查；负责对市本级不动产登记纸质档案的收集、运转、移交等工作。</w:t>
      </w:r>
    </w:p>
    <w:p w:rsidR="004E0668" w:rsidRDefault="00C817C7">
      <w:pPr>
        <w:pStyle w:val="a7"/>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二、一般公共预算支出情况</w:t>
      </w:r>
    </w:p>
    <w:p w:rsidR="004E0668" w:rsidRDefault="00C817C7">
      <w:pPr>
        <w:pStyle w:val="a7"/>
        <w:widowControl/>
        <w:spacing w:line="640" w:lineRule="exact"/>
        <w:ind w:firstLine="643"/>
        <w:rPr>
          <w:rFonts w:ascii="Times New Roman" w:eastAsia="楷体_GB2312" w:hAnsi="Times New Roman"/>
          <w:b/>
          <w:sz w:val="32"/>
          <w:szCs w:val="32"/>
        </w:rPr>
      </w:pPr>
      <w:r>
        <w:rPr>
          <w:rFonts w:ascii="Times New Roman" w:eastAsia="楷体_GB2312" w:hAnsi="Times New Roman"/>
          <w:b/>
          <w:sz w:val="32"/>
          <w:szCs w:val="32"/>
        </w:rPr>
        <w:lastRenderedPageBreak/>
        <w:t>（一）基本支出情况</w:t>
      </w:r>
    </w:p>
    <w:p w:rsidR="004E0668" w:rsidRDefault="00C817C7">
      <w:pPr>
        <w:pStyle w:val="a7"/>
        <w:widowControl/>
        <w:spacing w:line="640" w:lineRule="exact"/>
        <w:ind w:firstLine="640"/>
        <w:rPr>
          <w:rFonts w:ascii="Times New Roman" w:eastAsia="楷体_GB2312" w:hAnsi="Times New Roman"/>
          <w:b/>
          <w:sz w:val="32"/>
          <w:szCs w:val="32"/>
        </w:rPr>
      </w:pPr>
      <w:r>
        <w:rPr>
          <w:rFonts w:ascii="仿宋_GB2312" w:eastAsia="仿宋_GB2312" w:hAnsi="仿宋_GB2312" w:cs="仿宋_GB2312" w:hint="eastAsia"/>
          <w:sz w:val="32"/>
          <w:szCs w:val="32"/>
        </w:rPr>
        <w:t>2023年基本支出预算数1806.41万元，实际支出决算数2,472.86万元。其中：人员经费1946.33万元，主要包括：基本工资、津贴补贴、奖金、伙食补助、机关事业单位基本养老保险缴费、职工基本医疗保险缴费、其他社会保障缴费、住房公积金等、退休费、生活补助、其他对个人和家庭的补助；公用经费526.53万元，主要包括：办公费、印刷费、邮电费、差旅费、维修费、会议费、培训费、公务接待费、劳务费、委托业务费、工会经费、福利费、公务用车运行维护费、其他交通费用、其他商品和服务支出、资本性支出等。</w:t>
      </w:r>
    </w:p>
    <w:p w:rsidR="004E0668" w:rsidRDefault="00C817C7">
      <w:pPr>
        <w:pStyle w:val="a7"/>
        <w:widowControl/>
        <w:spacing w:line="640" w:lineRule="exact"/>
        <w:ind w:firstLine="643"/>
        <w:rPr>
          <w:rFonts w:ascii="Times New Roman" w:eastAsia="楷体_GB2312" w:hAnsi="Times New Roman"/>
          <w:b/>
          <w:sz w:val="32"/>
          <w:szCs w:val="32"/>
        </w:rPr>
      </w:pPr>
      <w:r>
        <w:rPr>
          <w:rFonts w:ascii="Times New Roman" w:eastAsia="楷体_GB2312" w:hAnsi="Times New Roman"/>
          <w:b/>
          <w:sz w:val="32"/>
          <w:szCs w:val="32"/>
        </w:rPr>
        <w:t>（二）项目支出情况</w:t>
      </w:r>
    </w:p>
    <w:p w:rsidR="004E0668" w:rsidRDefault="00C817C7">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2023年项目支出预算数15.70万元，实际支出决算数159.34万元，</w:t>
      </w:r>
      <w:r w:rsidR="00D470D6">
        <w:rPr>
          <w:rFonts w:ascii="仿宋_GB2312" w:eastAsia="仿宋_GB2312" w:hAnsi="仿宋_GB2312" w:cs="仿宋_GB2312" w:hint="eastAsia"/>
          <w:sz w:val="32"/>
          <w:szCs w:val="32"/>
        </w:rPr>
        <w:t>主</w:t>
      </w:r>
      <w:r w:rsidR="00D470D6">
        <w:rPr>
          <w:rFonts w:ascii="仿宋_GB2312" w:eastAsia="仿宋_GB2312" w:hAnsi="仿宋_GB2312" w:cs="仿宋_GB2312"/>
          <w:sz w:val="32"/>
          <w:szCs w:val="32"/>
        </w:rPr>
        <w:t>要</w:t>
      </w:r>
      <w:r>
        <w:rPr>
          <w:rFonts w:ascii="仿宋_GB2312" w:eastAsia="仿宋_GB2312" w:hAnsi="仿宋_GB2312" w:cs="仿宋_GB2312" w:hint="eastAsia"/>
          <w:sz w:val="32"/>
          <w:szCs w:val="32"/>
        </w:rPr>
        <w:t>用于</w:t>
      </w:r>
      <w:r w:rsidR="00D470D6">
        <w:rPr>
          <w:rFonts w:ascii="仿宋_GB2312" w:eastAsia="仿宋_GB2312" w:hAnsi="仿宋_GB2312" w:cs="仿宋_GB2312" w:hint="eastAsia"/>
          <w:sz w:val="32"/>
          <w:szCs w:val="32"/>
        </w:rPr>
        <w:t>年</w:t>
      </w:r>
      <w:r w:rsidR="00D470D6">
        <w:rPr>
          <w:rFonts w:ascii="仿宋_GB2312" w:eastAsia="仿宋_GB2312" w:hAnsi="仿宋_GB2312" w:cs="仿宋_GB2312"/>
          <w:sz w:val="32"/>
          <w:szCs w:val="32"/>
        </w:rPr>
        <w:t>中新增项目</w:t>
      </w:r>
      <w:r>
        <w:rPr>
          <w:rFonts w:ascii="仿宋_GB2312" w:eastAsia="仿宋_GB2312" w:hAnsi="仿宋_GB2312" w:cs="仿宋_GB2312" w:hint="eastAsia"/>
          <w:sz w:val="32"/>
          <w:szCs w:val="32"/>
        </w:rPr>
        <w:t>中心城区房地产办证专项行动支出。</w:t>
      </w:r>
    </w:p>
    <w:p w:rsidR="004E0668" w:rsidRDefault="00C817C7">
      <w:pPr>
        <w:pStyle w:val="a7"/>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三、政府性基金预算支出情况</w:t>
      </w:r>
    </w:p>
    <w:p w:rsidR="004E0668" w:rsidRDefault="00C817C7">
      <w:pPr>
        <w:pStyle w:val="a7"/>
        <w:widowControl/>
        <w:spacing w:line="640" w:lineRule="exact"/>
        <w:ind w:firstLine="640"/>
        <w:rPr>
          <w:rFonts w:ascii="Times New Roman" w:eastAsia="黑体" w:hAnsi="Times New Roman"/>
          <w:sz w:val="32"/>
          <w:szCs w:val="32"/>
        </w:rPr>
      </w:pPr>
      <w:r>
        <w:rPr>
          <w:rFonts w:ascii="仿宋_GB2312" w:eastAsia="仿宋_GB2312" w:hAnsi="仿宋_GB2312" w:cs="仿宋_GB2312" w:hint="eastAsia"/>
          <w:color w:val="000000" w:themeColor="text1"/>
          <w:sz w:val="32"/>
          <w:szCs w:val="32"/>
        </w:rPr>
        <w:t>2023年度本单位无政府性基金安排的支出。</w:t>
      </w:r>
    </w:p>
    <w:p w:rsidR="004E0668" w:rsidRDefault="00C817C7">
      <w:pPr>
        <w:pStyle w:val="a7"/>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四、国有资本经营预算支出情况</w:t>
      </w:r>
    </w:p>
    <w:p w:rsidR="004E0668" w:rsidRDefault="00C817C7">
      <w:pPr>
        <w:pStyle w:val="a7"/>
        <w:widowControl/>
        <w:spacing w:line="640" w:lineRule="exact"/>
        <w:ind w:firstLine="640"/>
        <w:rPr>
          <w:rFonts w:ascii="Times New Roman" w:eastAsia="黑体" w:hAnsi="Times New Roman"/>
          <w:sz w:val="32"/>
          <w:szCs w:val="32"/>
        </w:rPr>
      </w:pPr>
      <w:r>
        <w:rPr>
          <w:rFonts w:ascii="仿宋_GB2312" w:eastAsia="仿宋_GB2312" w:hAnsi="仿宋_GB2312" w:cs="仿宋_GB2312" w:hint="eastAsia"/>
          <w:color w:val="000000" w:themeColor="text1"/>
          <w:sz w:val="32"/>
          <w:szCs w:val="32"/>
        </w:rPr>
        <w:t>2023年度本单位无国有资本经营预算支出。</w:t>
      </w:r>
    </w:p>
    <w:p w:rsidR="004E0668" w:rsidRDefault="00C817C7">
      <w:pPr>
        <w:pStyle w:val="a7"/>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五、社会保险基金预算支出情况</w:t>
      </w:r>
    </w:p>
    <w:p w:rsidR="004E0668" w:rsidRDefault="00C817C7">
      <w:pPr>
        <w:ind w:firstLineChars="200" w:firstLine="640"/>
        <w:rPr>
          <w:rFonts w:ascii="Times New Roman" w:eastAsia="黑体" w:hAnsi="Times New Roman"/>
          <w:sz w:val="32"/>
          <w:szCs w:val="32"/>
        </w:rPr>
      </w:pPr>
      <w:r>
        <w:rPr>
          <w:rFonts w:ascii="仿宋_GB2312" w:eastAsia="仿宋_GB2312" w:hAnsi="仿宋_GB2312" w:cs="仿宋_GB2312" w:hint="eastAsia"/>
          <w:color w:val="000000" w:themeColor="text1"/>
          <w:sz w:val="32"/>
          <w:szCs w:val="32"/>
        </w:rPr>
        <w:t>2023年度本单位无社会保险基金预算支出。</w:t>
      </w:r>
    </w:p>
    <w:p w:rsidR="004E0668" w:rsidRDefault="00C817C7">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六、部门整体支出绩效情况</w:t>
      </w:r>
    </w:p>
    <w:p w:rsidR="004E0668" w:rsidRDefault="00C817C7">
      <w:pPr>
        <w:widowControl/>
        <w:spacing w:line="64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本单位各项项目资金其主要用途是确保单位的正常运转，促进各项工作任务顺利完成。在人员经费支出、公共支出严格执行</w:t>
      </w:r>
      <w:r w:rsidR="0034513A">
        <w:rPr>
          <w:rFonts w:ascii="Times New Roman" w:eastAsia="仿宋_GB2312" w:hAnsi="Times New Roman" w:hint="eastAsia"/>
          <w:color w:val="000000"/>
          <w:sz w:val="32"/>
          <w:szCs w:val="32"/>
        </w:rPr>
        <w:t>市</w:t>
      </w:r>
      <w:r>
        <w:rPr>
          <w:rFonts w:ascii="Times New Roman" w:eastAsia="仿宋_GB2312" w:hAnsi="Times New Roman"/>
          <w:color w:val="000000"/>
          <w:sz w:val="32"/>
          <w:szCs w:val="32"/>
        </w:rPr>
        <w:t>委</w:t>
      </w:r>
      <w:r w:rsidR="0034513A">
        <w:rPr>
          <w:rFonts w:ascii="Times New Roman" w:eastAsia="仿宋_GB2312" w:hAnsi="Times New Roman" w:hint="eastAsia"/>
          <w:color w:val="000000"/>
          <w:sz w:val="32"/>
          <w:szCs w:val="32"/>
        </w:rPr>
        <w:t>市</w:t>
      </w:r>
      <w:r>
        <w:rPr>
          <w:rFonts w:ascii="Times New Roman" w:eastAsia="仿宋_GB2312" w:hAnsi="Times New Roman"/>
          <w:color w:val="000000"/>
          <w:sz w:val="32"/>
          <w:szCs w:val="32"/>
        </w:rPr>
        <w:t>政府的各项制度；在项目经费的使用上，在保证各项任务顺利完成的同时，严格落实厉行节约的原则；三公经费的使用严格控制在预算申报的范围内。</w:t>
      </w:r>
    </w:p>
    <w:p w:rsidR="004E0668" w:rsidRDefault="00C817C7">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在市局党组的正确领导下，岳阳市不动产登记工作深入贯彻落实党中央、国务院关于深化“放管服”改革、优化营商环境决策部署，始终坚持以人民为中心，以“高效、简便、优质、规范”为目标，聚焦党建、创新、服务、安全，不断开拓创新、攻坚克难，取得明显成效</w:t>
      </w:r>
      <w:r>
        <w:rPr>
          <w:rFonts w:ascii="仿宋_GB2312" w:eastAsia="仿宋_GB2312" w:hAnsi="仿宋_GB2312" w:cs="仿宋_GB2312" w:hint="eastAsia"/>
          <w:color w:val="000000"/>
          <w:sz w:val="32"/>
          <w:szCs w:val="32"/>
          <w:lang w:val="en" w:bidi="en-US"/>
        </w:rPr>
        <w:t>。</w:t>
      </w:r>
      <w:r>
        <w:rPr>
          <w:rFonts w:ascii="仿宋_GB2312" w:eastAsia="仿宋_GB2312" w:hAnsi="仿宋_GB2312" w:cs="仿宋_GB2312" w:hint="eastAsia"/>
          <w:sz w:val="32"/>
          <w:szCs w:val="32"/>
        </w:rPr>
        <w:t>2023年市本级受理各类登记业务共计12.1万笔，发放不动产权证书5.6万本，不动产登记证明2.1万张。</w:t>
      </w:r>
    </w:p>
    <w:p w:rsidR="004E0668" w:rsidRDefault="00C817C7">
      <w:pPr>
        <w:widowControl/>
        <w:spacing w:line="6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shd w:val="clear" w:color="auto" w:fill="FFFFFF"/>
        </w:rPr>
        <w:t>实现登记“双平行”，平行派件、平行审核。</w:t>
      </w:r>
      <w:r>
        <w:rPr>
          <w:rFonts w:ascii="仿宋_GB2312" w:eastAsia="仿宋_GB2312" w:hAnsi="仿宋_GB2312" w:cs="仿宋_GB2312" w:hint="eastAsia"/>
          <w:sz w:val="32"/>
          <w:szCs w:val="32"/>
        </w:rPr>
        <w:t>前台工作人员从“单一业务受理”转变成无差别“全业务受理”，实现业务综合受理，登记系统随机、均量派发业务件，聚焦业务潮汐现象，破解效率提升难题，自5月启用新模式以来已完成办理业务23113笔，平均每个月平行派件办理业务7162笔，平均办结时限缩短至4小时。</w:t>
      </w:r>
    </w:p>
    <w:p w:rsidR="004E0668" w:rsidRDefault="00C817C7">
      <w:pPr>
        <w:widowControl/>
        <w:spacing w:line="640" w:lineRule="exact"/>
        <w:ind w:firstLineChars="200" w:firstLine="643"/>
        <w:rPr>
          <w:rFonts w:ascii="仿宋_GB2312" w:eastAsia="仿宋_GB2312" w:hAnsi="仿宋_GB2312" w:cs="仿宋_GB2312"/>
          <w:color w:val="000000"/>
          <w:kern w:val="2"/>
          <w:sz w:val="32"/>
          <w:szCs w:val="32"/>
          <w:shd w:val="clear" w:color="auto" w:fill="FFFFFF"/>
        </w:rPr>
      </w:pPr>
      <w:r>
        <w:rPr>
          <w:rFonts w:ascii="仿宋_GB2312" w:eastAsia="仿宋_GB2312" w:hAnsi="仿宋_GB2312" w:cs="仿宋_GB2312" w:hint="eastAsia"/>
          <w:b/>
          <w:kern w:val="2"/>
          <w:sz w:val="32"/>
          <w:szCs w:val="32"/>
          <w:shd w:val="clear" w:color="auto" w:fill="FFFFFF"/>
        </w:rPr>
        <w:t>实现不动产登记智能化审批。</w:t>
      </w:r>
      <w:r>
        <w:rPr>
          <w:rFonts w:ascii="仿宋_GB2312" w:eastAsia="仿宋_GB2312" w:hAnsi="仿宋_GB2312" w:cs="仿宋_GB2312" w:hint="eastAsia"/>
          <w:sz w:val="32"/>
          <w:szCs w:val="32"/>
        </w:rPr>
        <w:t>充分利用数据共享成果、信息化技术，紧贴需求，建成符合岳阳市不动产登记中心要求的智能审批的办件模式，</w:t>
      </w:r>
      <w:r>
        <w:rPr>
          <w:rFonts w:ascii="仿宋_GB2312" w:eastAsia="仿宋_GB2312" w:hAnsi="仿宋_GB2312" w:cs="仿宋_GB2312" w:hint="eastAsia"/>
          <w:color w:val="000000"/>
          <w:kern w:val="2"/>
          <w:sz w:val="32"/>
          <w:szCs w:val="32"/>
          <w:shd w:val="clear" w:color="auto" w:fill="FFFFFF"/>
        </w:rPr>
        <w:t>实现业务从受理到办结不超过6</w:t>
      </w:r>
      <w:r>
        <w:rPr>
          <w:rFonts w:ascii="仿宋_GB2312" w:eastAsia="仿宋_GB2312" w:hAnsi="仿宋_GB2312" w:cs="仿宋_GB2312" w:hint="eastAsia"/>
          <w:color w:val="000000"/>
          <w:kern w:val="2"/>
          <w:sz w:val="32"/>
          <w:szCs w:val="32"/>
          <w:shd w:val="clear" w:color="auto" w:fill="FFFFFF"/>
        </w:rPr>
        <w:lastRenderedPageBreak/>
        <w:t>分钟的“极速办”。自3月份开通以来，共办理完成各类“智能审批”业务9628笔。</w:t>
      </w:r>
    </w:p>
    <w:p w:rsidR="004E0668" w:rsidRDefault="00C817C7">
      <w:pPr>
        <w:widowControl/>
        <w:spacing w:line="640" w:lineRule="exact"/>
        <w:ind w:firstLineChars="200" w:firstLine="643"/>
        <w:rPr>
          <w:rFonts w:ascii="仿宋_GB2312" w:eastAsia="仿宋_GB2312" w:hAnsi="仿宋_GB2312" w:cs="仿宋_GB2312"/>
          <w:b/>
          <w:kern w:val="2"/>
          <w:sz w:val="32"/>
          <w:szCs w:val="32"/>
          <w:shd w:val="clear" w:color="auto" w:fill="FFFFFF"/>
        </w:rPr>
      </w:pPr>
      <w:r>
        <w:rPr>
          <w:rFonts w:ascii="仿宋_GB2312" w:eastAsia="仿宋_GB2312" w:hAnsi="仿宋_GB2312" w:cs="仿宋_GB2312" w:hint="eastAsia"/>
          <w:b/>
          <w:kern w:val="2"/>
          <w:sz w:val="32"/>
          <w:szCs w:val="32"/>
          <w:shd w:val="clear" w:color="auto" w:fill="FFFFFF"/>
        </w:rPr>
        <w:t>实现“全市全域全业务通办”。</w:t>
      </w:r>
      <w:r>
        <w:rPr>
          <w:rFonts w:ascii="仿宋_GB2312" w:eastAsia="仿宋_GB2312" w:hAnsi="仿宋_GB2312" w:cs="仿宋_GB2312" w:hint="eastAsia"/>
          <w:sz w:val="32"/>
          <w:szCs w:val="32"/>
        </w:rPr>
        <w:t>围绕“就近办、网上办、全域通办”总体要求，打破原有的“不动产登记以属地管辖”传统模式，正式实施岳阳市不动产登记“全市全域全业务通办”，解决在居住地和不动产所在地间“往返跑”的问题，为企业群众节约时间成本和经济成本。</w:t>
      </w:r>
    </w:p>
    <w:p w:rsidR="004E0668" w:rsidRDefault="00C817C7">
      <w:pPr>
        <w:widowControl/>
        <w:spacing w:line="6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kern w:val="2"/>
          <w:sz w:val="32"/>
          <w:szCs w:val="32"/>
          <w:shd w:val="clear" w:color="auto" w:fill="FFFFFF"/>
        </w:rPr>
        <w:t>实现组合业务</w:t>
      </w:r>
      <w:r w:rsidR="00D62969">
        <w:rPr>
          <w:rFonts w:ascii="仿宋_GB2312" w:eastAsia="仿宋_GB2312" w:hAnsi="仿宋_GB2312" w:cs="仿宋_GB2312" w:hint="eastAsia"/>
          <w:b/>
          <w:kern w:val="2"/>
          <w:sz w:val="32"/>
          <w:szCs w:val="32"/>
          <w:shd w:val="clear" w:color="auto" w:fill="FFFFFF"/>
        </w:rPr>
        <w:t>同</w:t>
      </w:r>
      <w:r w:rsidR="00D62969">
        <w:rPr>
          <w:rFonts w:ascii="仿宋_GB2312" w:eastAsia="仿宋_GB2312" w:hAnsi="仿宋_GB2312" w:cs="仿宋_GB2312"/>
          <w:b/>
          <w:kern w:val="2"/>
          <w:sz w:val="32"/>
          <w:szCs w:val="32"/>
          <w:shd w:val="clear" w:color="auto" w:fill="FFFFFF"/>
        </w:rPr>
        <w:t>步办理</w:t>
      </w:r>
      <w:r>
        <w:rPr>
          <w:rFonts w:ascii="仿宋_GB2312" w:eastAsia="仿宋_GB2312" w:hAnsi="仿宋_GB2312" w:cs="仿宋_GB2312" w:hint="eastAsia"/>
          <w:b/>
          <w:kern w:val="2"/>
          <w:sz w:val="32"/>
          <w:szCs w:val="32"/>
          <w:shd w:val="clear" w:color="auto" w:fill="FFFFFF"/>
        </w:rPr>
        <w:t>。</w:t>
      </w:r>
      <w:r>
        <w:rPr>
          <w:rFonts w:ascii="仿宋_GB2312" w:eastAsia="仿宋_GB2312" w:hAnsi="仿宋_GB2312" w:cs="仿宋_GB2312" w:hint="eastAsia"/>
          <w:sz w:val="32"/>
          <w:szCs w:val="32"/>
        </w:rPr>
        <w:t>实施关联组合业务同步办理，</w:t>
      </w:r>
      <w:r>
        <w:rPr>
          <w:rFonts w:ascii="仿宋_GB2312" w:eastAsia="仿宋_GB2312" w:hAnsi="仿宋_GB2312" w:cs="仿宋_GB2312"/>
          <w:sz w:val="32"/>
          <w:szCs w:val="32"/>
        </w:rPr>
        <w:t>“一次申请，一次办结”</w:t>
      </w:r>
      <w:r>
        <w:rPr>
          <w:rFonts w:ascii="仿宋_GB2312" w:eastAsia="仿宋_GB2312" w:hAnsi="仿宋_GB2312" w:cs="仿宋_GB2312" w:hint="eastAsia"/>
          <w:sz w:val="32"/>
          <w:szCs w:val="32"/>
        </w:rPr>
        <w:t>，现已实现14</w:t>
      </w:r>
      <w:r>
        <w:rPr>
          <w:rFonts w:ascii="仿宋_GB2312" w:eastAsia="仿宋_GB2312" w:hAnsi="仿宋_GB2312" w:cs="仿宋_GB2312"/>
          <w:sz w:val="32"/>
          <w:szCs w:val="32"/>
        </w:rPr>
        <w:t>个不动产登记的组合登记事项</w:t>
      </w:r>
      <w:r>
        <w:rPr>
          <w:rFonts w:ascii="仿宋_GB2312" w:eastAsia="仿宋_GB2312" w:hAnsi="仿宋_GB2312" w:cs="仿宋_GB2312" w:hint="eastAsia"/>
          <w:sz w:val="32"/>
          <w:szCs w:val="32"/>
        </w:rPr>
        <w:t>。</w:t>
      </w:r>
    </w:p>
    <w:p w:rsidR="004E0668" w:rsidRDefault="00C817C7">
      <w:pPr>
        <w:widowControl/>
        <w:spacing w:line="6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实现农村登记业务全覆盖。</w:t>
      </w:r>
      <w:r>
        <w:rPr>
          <w:rFonts w:ascii="仿宋_GB2312" w:eastAsia="仿宋_GB2312" w:hAnsi="仿宋_GB2312" w:cs="仿宋_GB2312" w:hint="eastAsia"/>
          <w:sz w:val="32"/>
          <w:szCs w:val="32"/>
          <w:lang w:bidi="ar"/>
        </w:rPr>
        <w:t>加快推进“房地一体”农村不动产登记，已基本完成对符合登记发证条件的农村宅基地使用权及其地上房屋所有权和集体建设用地使用权及其地上建筑物、构筑物所有权进行统一确权登记并颁发不动产权证书。</w:t>
      </w:r>
    </w:p>
    <w:p w:rsidR="004E0668" w:rsidRDefault="00C817C7">
      <w:pPr>
        <w:pStyle w:val="a7"/>
        <w:widowControl/>
        <w:spacing w:line="640" w:lineRule="exact"/>
        <w:ind w:firstLine="640"/>
        <w:rPr>
          <w:rFonts w:ascii="Times New Roman" w:eastAsia="黑体" w:hAnsi="Times New Roman"/>
          <w:sz w:val="32"/>
          <w:szCs w:val="32"/>
        </w:rPr>
      </w:pPr>
      <w:r>
        <w:rPr>
          <w:rFonts w:ascii="Times New Roman" w:eastAsia="黑体" w:hAnsi="Times New Roman"/>
          <w:sz w:val="32"/>
          <w:szCs w:val="32"/>
        </w:rPr>
        <w:t>七、存在的问题及原因分析</w:t>
      </w:r>
    </w:p>
    <w:p w:rsidR="004E0668" w:rsidRDefault="00347F67">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（一）预算编制有待加强</w:t>
      </w:r>
      <w:r w:rsidR="00721CA6">
        <w:rPr>
          <w:rFonts w:ascii="仿宋_GB2312" w:eastAsia="仿宋_GB2312" w:hAnsi="仿宋_GB2312" w:cs="仿宋_GB2312"/>
          <w:sz w:val="32"/>
          <w:szCs w:val="32"/>
        </w:rPr>
        <w:t>，</w:t>
      </w:r>
      <w:r w:rsidR="00C817C7">
        <w:rPr>
          <w:rFonts w:ascii="仿宋_GB2312" w:eastAsia="仿宋_GB2312" w:hAnsi="仿宋_GB2312" w:cs="仿宋_GB2312"/>
          <w:sz w:val="32"/>
          <w:szCs w:val="32"/>
        </w:rPr>
        <w:t>预算编制的精确性有待进一步提高</w:t>
      </w:r>
      <w:r w:rsidR="00721CA6">
        <w:rPr>
          <w:rFonts w:ascii="仿宋_GB2312" w:eastAsia="仿宋_GB2312" w:hAnsi="仿宋_GB2312" w:cs="仿宋_GB2312"/>
          <w:sz w:val="32"/>
          <w:szCs w:val="32"/>
        </w:rPr>
        <w:t>，整体和专项绩效目标</w:t>
      </w:r>
      <w:r w:rsidR="00721CA6">
        <w:rPr>
          <w:rFonts w:ascii="仿宋_GB2312" w:eastAsia="仿宋_GB2312" w:hAnsi="仿宋_GB2312" w:cs="仿宋_GB2312" w:hint="eastAsia"/>
          <w:sz w:val="32"/>
          <w:szCs w:val="32"/>
        </w:rPr>
        <w:t>填报</w:t>
      </w:r>
      <w:r w:rsidR="00721CA6">
        <w:rPr>
          <w:rFonts w:ascii="仿宋_GB2312" w:eastAsia="仿宋_GB2312" w:hAnsi="仿宋_GB2312" w:cs="仿宋_GB2312"/>
          <w:sz w:val="32"/>
          <w:szCs w:val="32"/>
        </w:rPr>
        <w:t>的指标应进一步量化、</w:t>
      </w:r>
      <w:r w:rsidR="00721CA6">
        <w:rPr>
          <w:rFonts w:ascii="仿宋_GB2312" w:eastAsia="仿宋_GB2312" w:hAnsi="仿宋_GB2312" w:cs="仿宋_GB2312" w:hint="eastAsia"/>
          <w:sz w:val="32"/>
          <w:szCs w:val="32"/>
        </w:rPr>
        <w:t>细</w:t>
      </w:r>
      <w:r w:rsidR="00721CA6">
        <w:rPr>
          <w:rFonts w:ascii="仿宋_GB2312" w:eastAsia="仿宋_GB2312" w:hAnsi="仿宋_GB2312" w:cs="仿宋_GB2312"/>
          <w:sz w:val="32"/>
          <w:szCs w:val="32"/>
        </w:rPr>
        <w:t>化</w:t>
      </w:r>
      <w:r w:rsidR="00C817C7">
        <w:rPr>
          <w:rFonts w:ascii="仿宋_GB2312" w:eastAsia="仿宋_GB2312" w:hAnsi="仿宋_GB2312" w:cs="仿宋_GB2312"/>
          <w:sz w:val="32"/>
          <w:szCs w:val="32"/>
        </w:rPr>
        <w:t>。</w:t>
      </w:r>
    </w:p>
    <w:p w:rsidR="004E0668" w:rsidRDefault="00C817C7">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（二）绩效管理的运用意识有待提高。针对这些不足，我单位将积极采取改进措施，持续改进，不断规范和强化管理。</w:t>
      </w:r>
    </w:p>
    <w:p w:rsidR="004E0668" w:rsidRDefault="00C817C7">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八、下一步改进措施</w:t>
      </w:r>
    </w:p>
    <w:p w:rsidR="004E0668" w:rsidRDefault="00C817C7">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（一）严格按照《中华人民共和国预算法》及相关制度，根据本单位实际情况并结合以前年度支出情况，综合考虑相关因素，申报年初预算，提高单位预算编制水平。</w:t>
      </w:r>
    </w:p>
    <w:p w:rsidR="004E0668" w:rsidRDefault="00C817C7">
      <w:pPr>
        <w:widowControl/>
        <w:spacing w:line="64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（二）定期对绩效目标执行进度进行监控，及时掌握资金支付进度，确保财政资金发挥效益。</w:t>
      </w:r>
    </w:p>
    <w:p w:rsidR="004E0668" w:rsidRDefault="00C817C7">
      <w:pPr>
        <w:widowControl/>
        <w:spacing w:line="64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（三）进一步提升业务能力，优化工作流程，</w:t>
      </w:r>
      <w:r>
        <w:rPr>
          <w:rFonts w:ascii="仿宋_GB2312" w:eastAsia="仿宋_GB2312" w:hAnsi="仿宋_GB2312" w:cs="仿宋_GB2312" w:hint="eastAsia"/>
          <w:sz w:val="32"/>
          <w:szCs w:val="32"/>
        </w:rPr>
        <w:t>继续开展登记数据清理整合，夯实数据质量，深化信息互通共享，更好地发挥登记数据在经济社会发展和部门监管中的作用，提升不动产登记便利度、效率，提升不动产登记现代化水平，为企业群众节约时间成本和经济成本。</w:t>
      </w:r>
    </w:p>
    <w:p w:rsidR="004E0668" w:rsidRDefault="00C817C7">
      <w:pPr>
        <w:widowControl/>
        <w:spacing w:line="640" w:lineRule="exact"/>
        <w:ind w:firstLineChars="200" w:firstLine="640"/>
        <w:rPr>
          <w:rFonts w:ascii="Times New Roman" w:eastAsia="黑体" w:hAnsi="Times New Roman"/>
          <w:sz w:val="32"/>
          <w:szCs w:val="32"/>
        </w:rPr>
      </w:pPr>
      <w:r>
        <w:rPr>
          <w:rFonts w:ascii="Times New Roman" w:eastAsia="黑体" w:hAnsi="Times New Roman"/>
          <w:sz w:val="32"/>
          <w:szCs w:val="32"/>
        </w:rPr>
        <w:t>九、部门整体支出绩效自评结果拟应用和公开情况</w:t>
      </w:r>
    </w:p>
    <w:p w:rsidR="004E0668" w:rsidRDefault="00C817C7">
      <w:pPr>
        <w:widowControl/>
        <w:spacing w:line="64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绩效自评结果可以进一步规范财政资金管理，强化部门绩效和责任意识，切实提高财政资金使用效益，同时编制下一年的部门预算可以参考绩效自评结果，以提高预算编制的精准性。已按相关要求及时进行预决算公开及整体支出绩效自评的公开。</w:t>
      </w:r>
    </w:p>
    <w:p w:rsidR="004E0668" w:rsidRDefault="004E0668">
      <w:pPr>
        <w:widowControl/>
        <w:spacing w:line="640" w:lineRule="exact"/>
        <w:ind w:firstLineChars="200" w:firstLine="640"/>
        <w:rPr>
          <w:rFonts w:ascii="仿宋_GB2312" w:eastAsia="仿宋_GB2312" w:hAnsi="仿宋_GB2312" w:cs="仿宋_GB2312"/>
          <w:color w:val="000000" w:themeColor="text1"/>
          <w:sz w:val="32"/>
          <w:szCs w:val="32"/>
        </w:rPr>
      </w:pPr>
    </w:p>
    <w:p w:rsidR="00DE449E" w:rsidRDefault="00DE449E" w:rsidP="00DE449E">
      <w:pPr>
        <w:spacing w:afterLines="50" w:after="156" w:line="600" w:lineRule="exact"/>
        <w:rPr>
          <w:rFonts w:ascii="黑体" w:eastAsia="黑体" w:hAnsi="黑体" w:cs="黑体"/>
          <w:sz w:val="32"/>
          <w:szCs w:val="32"/>
        </w:rPr>
      </w:pPr>
      <w:r>
        <w:rPr>
          <w:rFonts w:ascii="黑体" w:eastAsia="黑体" w:hAnsi="黑体" w:cs="黑体" w:hint="eastAsia"/>
          <w:sz w:val="32"/>
          <w:szCs w:val="32"/>
        </w:rPr>
        <w:lastRenderedPageBreak/>
        <w:t>附件1</w:t>
      </w:r>
    </w:p>
    <w:p w:rsidR="00DE449E" w:rsidRDefault="00DE449E" w:rsidP="00DE449E">
      <w:pPr>
        <w:spacing w:afterLines="50" w:after="156" w:line="600" w:lineRule="exact"/>
        <w:jc w:val="center"/>
        <w:rPr>
          <w:rFonts w:ascii="方正小标宋简体" w:eastAsia="方正小标宋简体" w:hAnsi="方正小标宋简体" w:cs="方正小标宋简体"/>
          <w:sz w:val="24"/>
        </w:rPr>
      </w:pPr>
      <w:r>
        <w:rPr>
          <w:rFonts w:ascii="方正小标宋简体" w:eastAsia="方正小标宋简体" w:hAnsi="方正小标宋简体" w:cs="方正小标宋简体" w:hint="eastAsia"/>
          <w:sz w:val="36"/>
          <w:szCs w:val="36"/>
        </w:rPr>
        <w:t>2023年度部门整体支出绩效评价基础数据表</w:t>
      </w:r>
    </w:p>
    <w:tbl>
      <w:tblPr>
        <w:tblW w:w="9673" w:type="dxa"/>
        <w:jc w:val="center"/>
        <w:tblLayout w:type="fixed"/>
        <w:tblLook w:val="04A0" w:firstRow="1" w:lastRow="0" w:firstColumn="1" w:lastColumn="0" w:noHBand="0" w:noVBand="1"/>
      </w:tblPr>
      <w:tblGrid>
        <w:gridCol w:w="3354"/>
        <w:gridCol w:w="1189"/>
        <w:gridCol w:w="849"/>
        <w:gridCol w:w="1129"/>
        <w:gridCol w:w="1111"/>
        <w:gridCol w:w="1081"/>
        <w:gridCol w:w="960"/>
      </w:tblGrid>
      <w:tr w:rsidR="00DE449E" w:rsidTr="00FF6B33">
        <w:trPr>
          <w:jc w:val="center"/>
        </w:trPr>
        <w:tc>
          <w:tcPr>
            <w:tcW w:w="3354" w:type="dxa"/>
            <w:vMerge w:val="restart"/>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财政供养人员情况（人）</w:t>
            </w:r>
          </w:p>
        </w:tc>
        <w:tc>
          <w:tcPr>
            <w:tcW w:w="2038" w:type="dxa"/>
            <w:gridSpan w:val="2"/>
            <w:tcBorders>
              <w:top w:val="single" w:sz="4" w:space="0" w:color="auto"/>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编制数</w:t>
            </w:r>
          </w:p>
        </w:tc>
        <w:tc>
          <w:tcPr>
            <w:tcW w:w="2240" w:type="dxa"/>
            <w:gridSpan w:val="2"/>
            <w:tcBorders>
              <w:top w:val="single" w:sz="4" w:space="0" w:color="auto"/>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2023年实际在职人数</w:t>
            </w:r>
          </w:p>
        </w:tc>
        <w:tc>
          <w:tcPr>
            <w:tcW w:w="2041" w:type="dxa"/>
            <w:gridSpan w:val="2"/>
            <w:tcBorders>
              <w:top w:val="single" w:sz="4" w:space="0" w:color="auto"/>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控制率</w:t>
            </w:r>
          </w:p>
        </w:tc>
      </w:tr>
      <w:tr w:rsidR="00DE449E" w:rsidTr="00FF6B33">
        <w:trPr>
          <w:jc w:val="center"/>
        </w:trPr>
        <w:tc>
          <w:tcPr>
            <w:tcW w:w="3354"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p>
        </w:tc>
        <w:tc>
          <w:tcPr>
            <w:tcW w:w="2038" w:type="dxa"/>
            <w:gridSpan w:val="2"/>
            <w:tcBorders>
              <w:top w:val="single" w:sz="4" w:space="0" w:color="auto"/>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112</w:t>
            </w:r>
          </w:p>
        </w:tc>
        <w:tc>
          <w:tcPr>
            <w:tcW w:w="2240" w:type="dxa"/>
            <w:gridSpan w:val="2"/>
            <w:tcBorders>
              <w:top w:val="single" w:sz="4" w:space="0" w:color="auto"/>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112</w:t>
            </w:r>
          </w:p>
        </w:tc>
        <w:tc>
          <w:tcPr>
            <w:tcW w:w="2041" w:type="dxa"/>
            <w:gridSpan w:val="2"/>
            <w:tcBorders>
              <w:top w:val="single" w:sz="4" w:space="0" w:color="auto"/>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100%</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经费控制情况（万元）</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2022年决算数</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2023年预算数</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2023年决算数</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三公经费</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2.83</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4.00</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1.02</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1、公务用车购置和维护经费</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2.59</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3.00</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0.78</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其中：公车购置</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公车运行维护</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2.59</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3.00</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0.78</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2、出国经费</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3、公务接待</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0.24</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sz w:val="20"/>
                <w:szCs w:val="20"/>
              </w:rPr>
              <w:t>0.5</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0.24</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项目支出：</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0.00</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15.70</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159.34</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1、非税收入征收成本（不动产登记费）</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15.70</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r>
      <w:tr w:rsidR="00DE449E" w:rsidTr="00FF6B33">
        <w:trPr>
          <w:trHeight w:val="268"/>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sz w:val="20"/>
                <w:szCs w:val="20"/>
              </w:rPr>
              <w:t>2</w:t>
            </w:r>
            <w:r>
              <w:rPr>
                <w:rFonts w:ascii="仿宋_GB2312" w:eastAsia="仿宋_GB2312" w:hAnsi="仿宋_GB2312" w:cs="仿宋_GB2312" w:hint="eastAsia"/>
                <w:sz w:val="20"/>
                <w:szCs w:val="20"/>
              </w:rPr>
              <w:t>、市级专项资金（一个专项一行）</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159.34</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ind w:firstLineChars="200" w:firstLine="400"/>
              <w:rPr>
                <w:rFonts w:ascii="仿宋_GB2312" w:eastAsia="仿宋_GB2312" w:hAnsi="仿宋_GB2312" w:cs="仿宋_GB2312"/>
                <w:sz w:val="20"/>
                <w:szCs w:val="20"/>
              </w:rPr>
            </w:pPr>
            <w:r>
              <w:rPr>
                <w:rFonts w:ascii="仿宋_GB2312" w:eastAsia="仿宋_GB2312" w:hAnsi="仿宋_GB2312" w:cs="仿宋_GB2312" w:hint="eastAsia"/>
                <w:sz w:val="20"/>
                <w:szCs w:val="20"/>
              </w:rPr>
              <w:t>中心城区房地产办证专项行动</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159.34</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公用经费</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576.08</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141.17</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526.54</w:t>
            </w:r>
          </w:p>
        </w:tc>
      </w:tr>
      <w:tr w:rsidR="00DE449E" w:rsidTr="00FF6B33">
        <w:trPr>
          <w:trHeight w:val="279"/>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其中：办公经费</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457.66</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112.99</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jc w:val="center"/>
              <w:textAlignment w:val="center"/>
              <w:rPr>
                <w:rFonts w:ascii="宋体" w:hAnsi="宋体" w:cs="宋体"/>
                <w:color w:val="000000"/>
                <w:sz w:val="22"/>
                <w:szCs w:val="22"/>
              </w:rPr>
            </w:pPr>
            <w:r>
              <w:rPr>
                <w:rFonts w:ascii="仿宋_GB2312" w:eastAsia="仿宋_GB2312" w:hAnsi="仿宋_GB2312" w:cs="仿宋_GB2312" w:hint="eastAsia"/>
                <w:sz w:val="20"/>
                <w:szCs w:val="20"/>
              </w:rPr>
              <w:t>193.96</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水费、电费、差旅费</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5.59</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2.00</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8.70</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会议费、培训费</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0.50</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0.00</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0.67</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政府采购金额</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0.00</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731.88</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241.99</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部门基本支出预算调整 </w:t>
            </w:r>
          </w:p>
        </w:tc>
        <w:tc>
          <w:tcPr>
            <w:tcW w:w="2038"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w:t>
            </w:r>
          </w:p>
        </w:tc>
        <w:tc>
          <w:tcPr>
            <w:tcW w:w="2240"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666.45</w:t>
            </w:r>
          </w:p>
        </w:tc>
        <w:tc>
          <w:tcPr>
            <w:tcW w:w="2041" w:type="dxa"/>
            <w:gridSpan w:val="2"/>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w:t>
            </w:r>
          </w:p>
        </w:tc>
      </w:tr>
      <w:tr w:rsidR="00DE449E" w:rsidTr="00FF6B33">
        <w:trPr>
          <w:jc w:val="center"/>
        </w:trPr>
        <w:tc>
          <w:tcPr>
            <w:tcW w:w="3354" w:type="dxa"/>
            <w:vMerge w:val="restart"/>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楼堂馆所控制情况</w:t>
            </w:r>
            <w:r>
              <w:rPr>
                <w:rFonts w:ascii="仿宋_GB2312" w:eastAsia="仿宋_GB2312" w:hAnsi="仿宋_GB2312" w:cs="仿宋_GB2312" w:hint="eastAsia"/>
                <w:sz w:val="20"/>
                <w:szCs w:val="20"/>
              </w:rPr>
              <w:br/>
              <w:t>（2023年完工项目）</w:t>
            </w:r>
          </w:p>
        </w:tc>
        <w:tc>
          <w:tcPr>
            <w:tcW w:w="1189"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批复规模</w:t>
            </w:r>
            <w:r>
              <w:rPr>
                <w:rFonts w:ascii="仿宋_GB2312" w:eastAsia="仿宋_GB2312" w:hAnsi="仿宋_GB2312" w:cs="仿宋_GB2312" w:hint="eastAsia"/>
                <w:bCs/>
                <w:sz w:val="20"/>
                <w:szCs w:val="20"/>
              </w:rPr>
              <w:br/>
              <w:t>（㎡）</w:t>
            </w:r>
          </w:p>
        </w:tc>
        <w:tc>
          <w:tcPr>
            <w:tcW w:w="849"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实际规模（㎡）</w:t>
            </w:r>
          </w:p>
        </w:tc>
        <w:tc>
          <w:tcPr>
            <w:tcW w:w="1129"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规模控制率</w:t>
            </w:r>
          </w:p>
        </w:tc>
        <w:tc>
          <w:tcPr>
            <w:tcW w:w="1111"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预算投资（万元）</w:t>
            </w:r>
          </w:p>
        </w:tc>
        <w:tc>
          <w:tcPr>
            <w:tcW w:w="1081"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实际投资（万元）</w:t>
            </w:r>
          </w:p>
        </w:tc>
        <w:tc>
          <w:tcPr>
            <w:tcW w:w="960"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投资概算控制率</w:t>
            </w:r>
          </w:p>
        </w:tc>
      </w:tr>
      <w:tr w:rsidR="00DE449E" w:rsidTr="00FF6B33">
        <w:trPr>
          <w:jc w:val="center"/>
        </w:trPr>
        <w:tc>
          <w:tcPr>
            <w:tcW w:w="3354" w:type="dxa"/>
            <w:vMerge/>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p>
        </w:tc>
        <w:tc>
          <w:tcPr>
            <w:tcW w:w="1189"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849"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1129"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1111"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1081"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960" w:type="dxa"/>
            <w:tcBorders>
              <w:top w:val="nil"/>
              <w:left w:val="nil"/>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r>
      <w:tr w:rsidR="00DE449E" w:rsidTr="00FF6B33">
        <w:trPr>
          <w:jc w:val="center"/>
        </w:trPr>
        <w:tc>
          <w:tcPr>
            <w:tcW w:w="3354"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厉行节约保障措施</w:t>
            </w:r>
          </w:p>
        </w:tc>
        <w:tc>
          <w:tcPr>
            <w:tcW w:w="6319" w:type="dxa"/>
            <w:gridSpan w:val="6"/>
            <w:tcBorders>
              <w:top w:val="single" w:sz="4" w:space="0" w:color="auto"/>
              <w:left w:val="nil"/>
              <w:bottom w:val="single" w:sz="4" w:space="0" w:color="auto"/>
              <w:right w:val="single" w:sz="4" w:space="0" w:color="000000"/>
            </w:tcBorders>
            <w:vAlign w:val="center"/>
          </w:tcPr>
          <w:p w:rsidR="00DE449E" w:rsidRDefault="00DE449E" w:rsidP="00FF6B33">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1、注重</w:t>
            </w:r>
            <w:r>
              <w:rPr>
                <w:rFonts w:ascii="仿宋_GB2312" w:eastAsia="仿宋_GB2312" w:hAnsi="仿宋_GB2312" w:cs="仿宋_GB2312"/>
                <w:sz w:val="20"/>
                <w:szCs w:val="20"/>
              </w:rPr>
              <w:t>节约意识的培养</w:t>
            </w:r>
            <w:r>
              <w:rPr>
                <w:rFonts w:ascii="仿宋_GB2312" w:eastAsia="仿宋_GB2312" w:hAnsi="仿宋_GB2312" w:cs="仿宋_GB2312" w:hint="eastAsia"/>
                <w:sz w:val="20"/>
                <w:szCs w:val="20"/>
              </w:rPr>
              <w:t>；2、注重</w:t>
            </w:r>
            <w:r>
              <w:rPr>
                <w:rFonts w:ascii="仿宋_GB2312" w:eastAsia="仿宋_GB2312" w:hAnsi="仿宋_GB2312" w:cs="仿宋_GB2312"/>
                <w:sz w:val="20"/>
                <w:szCs w:val="20"/>
              </w:rPr>
              <w:t>节约内容的全面性</w:t>
            </w:r>
            <w:r>
              <w:rPr>
                <w:rFonts w:ascii="仿宋_GB2312" w:eastAsia="仿宋_GB2312" w:hAnsi="仿宋_GB2312" w:cs="仿宋_GB2312" w:hint="eastAsia"/>
                <w:sz w:val="20"/>
                <w:szCs w:val="20"/>
              </w:rPr>
              <w:t>；3注重</w:t>
            </w:r>
            <w:r>
              <w:rPr>
                <w:rFonts w:ascii="仿宋_GB2312" w:eastAsia="仿宋_GB2312" w:hAnsi="仿宋_GB2312" w:cs="仿宋_GB2312"/>
                <w:sz w:val="20"/>
                <w:szCs w:val="20"/>
              </w:rPr>
              <w:t>节约</w:t>
            </w:r>
            <w:r>
              <w:rPr>
                <w:rFonts w:ascii="仿宋_GB2312" w:eastAsia="仿宋_GB2312" w:hAnsi="仿宋_GB2312" w:cs="仿宋_GB2312" w:hint="eastAsia"/>
                <w:sz w:val="20"/>
                <w:szCs w:val="20"/>
              </w:rPr>
              <w:t>机构</w:t>
            </w:r>
            <w:r>
              <w:rPr>
                <w:rFonts w:ascii="仿宋_GB2312" w:eastAsia="仿宋_GB2312" w:hAnsi="仿宋_GB2312" w:cs="仿宋_GB2312"/>
                <w:sz w:val="20"/>
                <w:szCs w:val="20"/>
              </w:rPr>
              <w:t>长效性；</w:t>
            </w:r>
            <w:r>
              <w:rPr>
                <w:rFonts w:ascii="仿宋_GB2312" w:eastAsia="仿宋_GB2312" w:hAnsi="仿宋_GB2312" w:cs="仿宋_GB2312" w:hint="eastAsia"/>
                <w:sz w:val="20"/>
                <w:szCs w:val="20"/>
              </w:rPr>
              <w:t>4注重</w:t>
            </w:r>
            <w:r>
              <w:rPr>
                <w:rFonts w:ascii="仿宋_GB2312" w:eastAsia="仿宋_GB2312" w:hAnsi="仿宋_GB2312" w:cs="仿宋_GB2312"/>
                <w:sz w:val="20"/>
                <w:szCs w:val="20"/>
              </w:rPr>
              <w:t>监管的</w:t>
            </w:r>
            <w:r>
              <w:rPr>
                <w:rFonts w:ascii="仿宋_GB2312" w:eastAsia="仿宋_GB2312" w:hAnsi="仿宋_GB2312" w:cs="仿宋_GB2312" w:hint="eastAsia"/>
                <w:sz w:val="20"/>
                <w:szCs w:val="20"/>
              </w:rPr>
              <w:t>经常</w:t>
            </w:r>
            <w:r>
              <w:rPr>
                <w:rFonts w:ascii="仿宋_GB2312" w:eastAsia="仿宋_GB2312" w:hAnsi="仿宋_GB2312" w:cs="仿宋_GB2312"/>
                <w:sz w:val="20"/>
                <w:szCs w:val="20"/>
              </w:rPr>
              <w:t>性</w:t>
            </w:r>
            <w:r>
              <w:rPr>
                <w:rFonts w:ascii="仿宋_GB2312" w:eastAsia="仿宋_GB2312" w:hAnsi="仿宋_GB2312" w:cs="仿宋_GB2312" w:hint="eastAsia"/>
                <w:sz w:val="20"/>
                <w:szCs w:val="20"/>
              </w:rPr>
              <w:t>。</w:t>
            </w:r>
          </w:p>
        </w:tc>
      </w:tr>
    </w:tbl>
    <w:p w:rsidR="00DE449E" w:rsidRDefault="00DE449E" w:rsidP="00DE449E">
      <w:pPr>
        <w:widowControl/>
        <w:spacing w:line="400" w:lineRule="exact"/>
        <w:jc w:val="left"/>
        <w:rPr>
          <w:rFonts w:ascii="Times New Roman" w:eastAsia="仿宋_GB2312" w:hAnsi="Times New Roman"/>
          <w:sz w:val="22"/>
        </w:rPr>
      </w:pPr>
      <w:r>
        <w:rPr>
          <w:rFonts w:ascii="Times New Roman" w:eastAsia="仿宋_GB2312" w:hAnsi="Times New Roman"/>
          <w:sz w:val="22"/>
        </w:rPr>
        <w:t>说明：</w:t>
      </w:r>
      <w:r>
        <w:rPr>
          <w:rFonts w:ascii="Times New Roman" w:eastAsia="仿宋_GB2312" w:hAnsi="Times New Roman"/>
          <w:sz w:val="22"/>
        </w:rPr>
        <w:t>“</w:t>
      </w:r>
      <w:r>
        <w:rPr>
          <w:rFonts w:ascii="Times New Roman" w:eastAsia="仿宋_GB2312" w:hAnsi="Times New Roman"/>
          <w:sz w:val="22"/>
        </w:rPr>
        <w:t>项目支出</w:t>
      </w:r>
      <w:r>
        <w:rPr>
          <w:rFonts w:ascii="Times New Roman" w:eastAsia="仿宋_GB2312" w:hAnsi="Times New Roman"/>
          <w:sz w:val="22"/>
        </w:rPr>
        <w:t>”</w:t>
      </w:r>
      <w:r>
        <w:rPr>
          <w:rFonts w:ascii="Times New Roman" w:eastAsia="仿宋_GB2312" w:hAnsi="Times New Roman"/>
          <w:sz w:val="22"/>
        </w:rPr>
        <w:t>需要填报基本支出以外的所有项目支出情况，</w:t>
      </w:r>
      <w:r>
        <w:rPr>
          <w:rFonts w:ascii="Times New Roman" w:eastAsia="仿宋_GB2312" w:hAnsi="Times New Roman"/>
          <w:sz w:val="22"/>
        </w:rPr>
        <w:t>“</w:t>
      </w:r>
      <w:r>
        <w:rPr>
          <w:rFonts w:ascii="Times New Roman" w:eastAsia="仿宋_GB2312" w:hAnsi="Times New Roman"/>
          <w:sz w:val="22"/>
        </w:rPr>
        <w:t>公用经费</w:t>
      </w:r>
      <w:r>
        <w:rPr>
          <w:rFonts w:ascii="Times New Roman" w:eastAsia="仿宋_GB2312" w:hAnsi="Times New Roman"/>
          <w:sz w:val="22"/>
        </w:rPr>
        <w:t>”</w:t>
      </w:r>
      <w:r>
        <w:rPr>
          <w:rFonts w:ascii="Times New Roman" w:eastAsia="仿宋_GB2312" w:hAnsi="Times New Roman"/>
          <w:sz w:val="22"/>
        </w:rPr>
        <w:t>填报基本支出中的一般商品和服务支出。</w:t>
      </w:r>
    </w:p>
    <w:p w:rsidR="00DE449E" w:rsidRDefault="00DE449E" w:rsidP="00DE449E">
      <w:pPr>
        <w:widowControl/>
        <w:spacing w:line="400" w:lineRule="exact"/>
        <w:jc w:val="left"/>
        <w:rPr>
          <w:rFonts w:ascii="Times New Roman" w:eastAsia="仿宋_GB2312" w:hAnsi="Times New Roman"/>
          <w:sz w:val="22"/>
        </w:rPr>
      </w:pPr>
    </w:p>
    <w:p w:rsidR="00DE449E" w:rsidRDefault="00DE449E" w:rsidP="00DE449E">
      <w:pPr>
        <w:widowControl/>
        <w:spacing w:line="400" w:lineRule="exact"/>
        <w:jc w:val="left"/>
        <w:rPr>
          <w:rFonts w:ascii="黑体" w:eastAsia="黑体" w:hAnsi="黑体" w:cs="黑体"/>
          <w:sz w:val="32"/>
          <w:szCs w:val="32"/>
        </w:rPr>
      </w:pPr>
      <w:r>
        <w:rPr>
          <w:rFonts w:ascii="Times New Roman" w:eastAsia="仿宋_GB2312" w:hAnsi="Times New Roman"/>
          <w:sz w:val="22"/>
        </w:rPr>
        <w:t>填表人：</w:t>
      </w:r>
      <w:r>
        <w:rPr>
          <w:rFonts w:ascii="Times New Roman" w:eastAsia="仿宋_GB2312" w:hAnsi="Times New Roman"/>
          <w:sz w:val="22"/>
        </w:rPr>
        <w:t xml:space="preserve">        </w:t>
      </w:r>
      <w:r>
        <w:rPr>
          <w:rFonts w:ascii="Times New Roman" w:eastAsia="仿宋_GB2312" w:hAnsi="Times New Roman"/>
          <w:sz w:val="22"/>
        </w:rPr>
        <w:t>填报日期：</w:t>
      </w:r>
      <w:r>
        <w:rPr>
          <w:rFonts w:ascii="Times New Roman" w:eastAsia="仿宋_GB2312" w:hAnsi="Times New Roman"/>
          <w:sz w:val="22"/>
        </w:rPr>
        <w:t xml:space="preserve">          </w:t>
      </w:r>
      <w:r>
        <w:rPr>
          <w:rFonts w:ascii="Times New Roman" w:eastAsia="仿宋_GB2312" w:hAnsi="Times New Roman"/>
          <w:sz w:val="22"/>
        </w:rPr>
        <w:t>联系电话：</w:t>
      </w:r>
      <w:r>
        <w:rPr>
          <w:rFonts w:ascii="Times New Roman" w:eastAsia="仿宋_GB2312" w:hAnsi="Times New Roman"/>
          <w:sz w:val="22"/>
        </w:rPr>
        <w:t xml:space="preserve">            </w:t>
      </w:r>
      <w:r>
        <w:rPr>
          <w:rFonts w:ascii="Times New Roman" w:eastAsia="仿宋_GB2312" w:hAnsi="Times New Roman"/>
          <w:sz w:val="22"/>
        </w:rPr>
        <w:t>单位负责人签字：</w:t>
      </w:r>
      <w:r>
        <w:rPr>
          <w:rFonts w:ascii="Times New Roman" w:eastAsia="仿宋_GB2312" w:hAnsi="Times New Roman"/>
          <w:sz w:val="22"/>
        </w:rPr>
        <w:br w:type="page"/>
      </w:r>
      <w:r>
        <w:rPr>
          <w:rFonts w:ascii="黑体" w:eastAsia="黑体" w:hAnsi="黑体" w:cs="黑体" w:hint="eastAsia"/>
          <w:sz w:val="32"/>
          <w:szCs w:val="32"/>
        </w:rPr>
        <w:lastRenderedPageBreak/>
        <w:t>附件2</w:t>
      </w:r>
    </w:p>
    <w:p w:rsidR="00DE449E" w:rsidRDefault="00DE449E" w:rsidP="00DE449E">
      <w:pPr>
        <w:widowControl/>
        <w:spacing w:afterLines="50" w:after="156"/>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2023年度部门整体支出绩效自评表</w:t>
      </w:r>
    </w:p>
    <w:tbl>
      <w:tblPr>
        <w:tblW w:w="10079" w:type="dxa"/>
        <w:jc w:val="center"/>
        <w:tblLook w:val="04A0" w:firstRow="1" w:lastRow="0" w:firstColumn="1" w:lastColumn="0" w:noHBand="0" w:noVBand="1"/>
      </w:tblPr>
      <w:tblGrid>
        <w:gridCol w:w="1080"/>
        <w:gridCol w:w="1080"/>
        <w:gridCol w:w="1034"/>
        <w:gridCol w:w="1270"/>
        <w:gridCol w:w="1311"/>
        <w:gridCol w:w="1269"/>
        <w:gridCol w:w="716"/>
        <w:gridCol w:w="873"/>
        <w:gridCol w:w="1446"/>
      </w:tblGrid>
      <w:tr w:rsidR="00DE449E" w:rsidTr="00FF6B33">
        <w:trPr>
          <w:jc w:val="center"/>
        </w:trPr>
        <w:tc>
          <w:tcPr>
            <w:tcW w:w="108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市级预算部门名称</w:t>
            </w:r>
          </w:p>
        </w:tc>
        <w:tc>
          <w:tcPr>
            <w:tcW w:w="8999" w:type="dxa"/>
            <w:gridSpan w:val="8"/>
            <w:tcBorders>
              <w:top w:val="single" w:sz="4" w:space="0" w:color="auto"/>
              <w:left w:val="nil"/>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岳阳市不动产登记中心</w:t>
            </w:r>
          </w:p>
        </w:tc>
      </w:tr>
      <w:tr w:rsidR="00DE449E" w:rsidTr="00FF6B33">
        <w:trPr>
          <w:jc w:val="center"/>
        </w:trPr>
        <w:tc>
          <w:tcPr>
            <w:tcW w:w="1080" w:type="dxa"/>
            <w:vMerge w:val="restart"/>
            <w:tcBorders>
              <w:top w:val="nil"/>
              <w:left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年度预</w:t>
            </w: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算申请</w:t>
            </w:r>
            <w:r>
              <w:rPr>
                <w:rFonts w:ascii="仿宋_GB2312" w:eastAsia="仿宋_GB2312" w:hAnsi="仿宋_GB2312" w:cs="仿宋_GB2312" w:hint="eastAsia"/>
                <w:color w:val="000000"/>
                <w:sz w:val="20"/>
                <w:szCs w:val="20"/>
              </w:rPr>
              <w:br/>
              <w:t>（万元）</w:t>
            </w:r>
          </w:p>
        </w:tc>
        <w:tc>
          <w:tcPr>
            <w:tcW w:w="2114" w:type="dxa"/>
            <w:gridSpan w:val="2"/>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p>
        </w:tc>
        <w:tc>
          <w:tcPr>
            <w:tcW w:w="1270"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年初预算数</w:t>
            </w:r>
          </w:p>
        </w:tc>
        <w:tc>
          <w:tcPr>
            <w:tcW w:w="1311"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全年预算数</w:t>
            </w:r>
          </w:p>
        </w:tc>
        <w:tc>
          <w:tcPr>
            <w:tcW w:w="1269"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全年执行数</w:t>
            </w:r>
          </w:p>
        </w:tc>
        <w:tc>
          <w:tcPr>
            <w:tcW w:w="716"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分值</w:t>
            </w:r>
          </w:p>
        </w:tc>
        <w:tc>
          <w:tcPr>
            <w:tcW w:w="873"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执行率</w:t>
            </w:r>
          </w:p>
        </w:tc>
        <w:tc>
          <w:tcPr>
            <w:tcW w:w="1446"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得分</w:t>
            </w:r>
          </w:p>
        </w:tc>
      </w:tr>
      <w:tr w:rsidR="00DE449E" w:rsidTr="00FF6B33">
        <w:trPr>
          <w:jc w:val="center"/>
        </w:trPr>
        <w:tc>
          <w:tcPr>
            <w:tcW w:w="1080" w:type="dxa"/>
            <w:vMerge/>
            <w:tcBorders>
              <w:top w:val="nil"/>
              <w:left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p>
        </w:tc>
        <w:tc>
          <w:tcPr>
            <w:tcW w:w="2114" w:type="dxa"/>
            <w:gridSpan w:val="2"/>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color w:val="000000"/>
                <w:sz w:val="20"/>
                <w:szCs w:val="20"/>
              </w:rPr>
              <w:t>年度资金总额</w:t>
            </w:r>
          </w:p>
        </w:tc>
        <w:tc>
          <w:tcPr>
            <w:tcW w:w="1270"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1,822.11</w:t>
            </w:r>
          </w:p>
        </w:tc>
        <w:tc>
          <w:tcPr>
            <w:tcW w:w="1311"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color w:val="000000"/>
                <w:sz w:val="20"/>
                <w:szCs w:val="20"/>
              </w:rPr>
              <w:t>2,632.20</w:t>
            </w:r>
          </w:p>
        </w:tc>
        <w:tc>
          <w:tcPr>
            <w:tcW w:w="1269"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color w:val="000000"/>
                <w:sz w:val="20"/>
                <w:szCs w:val="20"/>
              </w:rPr>
              <w:t>2,632.20</w:t>
            </w:r>
          </w:p>
        </w:tc>
        <w:tc>
          <w:tcPr>
            <w:tcW w:w="716"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100%</w:t>
            </w:r>
          </w:p>
        </w:tc>
        <w:tc>
          <w:tcPr>
            <w:tcW w:w="1446" w:type="dxa"/>
            <w:tcBorders>
              <w:top w:val="nil"/>
              <w:left w:val="nil"/>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10</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按收入性质分：</w:t>
            </w:r>
          </w:p>
        </w:tc>
        <w:tc>
          <w:tcPr>
            <w:tcW w:w="4304"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按支出性质分：</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其中：  一般公共预算：2,632.20</w:t>
            </w:r>
          </w:p>
        </w:tc>
        <w:tc>
          <w:tcPr>
            <w:tcW w:w="4304"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其中：基本支出：2,472.86</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ind w:firstLineChars="400" w:firstLine="8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政府性基金拨款：</w:t>
            </w:r>
          </w:p>
        </w:tc>
        <w:tc>
          <w:tcPr>
            <w:tcW w:w="4304"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ind w:firstLineChars="300" w:firstLine="6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项目支出：</w:t>
            </w:r>
            <w:r>
              <w:rPr>
                <w:rFonts w:ascii="仿宋_GB2312" w:eastAsia="仿宋_GB2312" w:hAnsi="仿宋_GB2312" w:cs="仿宋_GB2312" w:hint="eastAsia"/>
                <w:sz w:val="20"/>
                <w:szCs w:val="20"/>
              </w:rPr>
              <w:t>159.34</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纳入专户管理的非税收入拨款：</w:t>
            </w:r>
          </w:p>
        </w:tc>
        <w:tc>
          <w:tcPr>
            <w:tcW w:w="4304"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r>
      <w:tr w:rsidR="00DE449E" w:rsidTr="00FF6B33">
        <w:trPr>
          <w:jc w:val="center"/>
        </w:trPr>
        <w:tc>
          <w:tcPr>
            <w:tcW w:w="1080" w:type="dxa"/>
            <w:vMerge/>
            <w:tcBorders>
              <w:left w:val="single" w:sz="4" w:space="0" w:color="auto"/>
              <w:bottom w:val="single" w:sz="4" w:space="0" w:color="000000"/>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ind w:firstLineChars="700" w:firstLine="14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其他资金：</w:t>
            </w:r>
          </w:p>
        </w:tc>
        <w:tc>
          <w:tcPr>
            <w:tcW w:w="4304" w:type="dxa"/>
            <w:gridSpan w:val="4"/>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r>
      <w:tr w:rsidR="00DE449E" w:rsidTr="00FF6B33">
        <w:trPr>
          <w:jc w:val="center"/>
        </w:trPr>
        <w:tc>
          <w:tcPr>
            <w:tcW w:w="1080" w:type="dxa"/>
            <w:vMerge w:val="restart"/>
            <w:tcBorders>
              <w:top w:val="nil"/>
              <w:left w:val="single" w:sz="4" w:space="0" w:color="auto"/>
              <w:bottom w:val="single" w:sz="4" w:space="0" w:color="000000"/>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年度总体目标</w:t>
            </w:r>
          </w:p>
        </w:tc>
        <w:tc>
          <w:tcPr>
            <w:tcW w:w="4695" w:type="dxa"/>
            <w:gridSpan w:val="4"/>
            <w:tcBorders>
              <w:top w:val="single" w:sz="4" w:space="0" w:color="auto"/>
              <w:left w:val="nil"/>
              <w:bottom w:val="single" w:sz="4" w:space="0" w:color="auto"/>
              <w:right w:val="single" w:sz="4" w:space="0" w:color="000000"/>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预期目标</w:t>
            </w:r>
          </w:p>
        </w:tc>
        <w:tc>
          <w:tcPr>
            <w:tcW w:w="4304" w:type="dxa"/>
            <w:gridSpan w:val="4"/>
            <w:tcBorders>
              <w:top w:val="single" w:sz="4" w:space="0" w:color="auto"/>
              <w:left w:val="nil"/>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实际完成情况</w:t>
            </w:r>
          </w:p>
        </w:tc>
      </w:tr>
      <w:tr w:rsidR="00DE449E" w:rsidTr="00FF6B33">
        <w:trPr>
          <w:jc w:val="center"/>
        </w:trPr>
        <w:tc>
          <w:tcPr>
            <w:tcW w:w="1080" w:type="dxa"/>
            <w:vMerge/>
            <w:tcBorders>
              <w:top w:val="nil"/>
              <w:left w:val="single" w:sz="4" w:space="0" w:color="auto"/>
              <w:bottom w:val="single" w:sz="4" w:space="0" w:color="000000"/>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single" w:sz="4" w:space="0" w:color="auto"/>
              <w:left w:val="nil"/>
              <w:bottom w:val="single" w:sz="4" w:space="0" w:color="auto"/>
              <w:right w:val="single" w:sz="4" w:space="0" w:color="000000"/>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1、聚焦党建引领，不断强化作风常态化建设。</w:t>
            </w:r>
          </w:p>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2、聚焦改革创新，不断提升登记财产营商环境水平。</w:t>
            </w:r>
          </w:p>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3、聚焦服务能力，不断提升企业群众办证满意度。</w:t>
            </w:r>
          </w:p>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4、聚焦登记安全，不断巩固登记管理的安全堡垒。</w:t>
            </w:r>
          </w:p>
        </w:tc>
        <w:tc>
          <w:tcPr>
            <w:tcW w:w="4304" w:type="dxa"/>
            <w:gridSpan w:val="4"/>
            <w:tcBorders>
              <w:top w:val="single" w:sz="4" w:space="0" w:color="auto"/>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已完成100%</w:t>
            </w:r>
          </w:p>
        </w:tc>
      </w:tr>
      <w:tr w:rsidR="00DE449E" w:rsidTr="00FF6B33">
        <w:trPr>
          <w:jc w:val="center"/>
        </w:trPr>
        <w:tc>
          <w:tcPr>
            <w:tcW w:w="1080" w:type="dxa"/>
            <w:vMerge w:val="restart"/>
            <w:tcBorders>
              <w:top w:val="nil"/>
              <w:left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绩</w:t>
            </w: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w:t>
            </w: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指</w:t>
            </w: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标</w:t>
            </w:r>
          </w:p>
          <w:p w:rsidR="00DE449E" w:rsidRDefault="00DE449E" w:rsidP="00FF6B33">
            <w:pPr>
              <w:widowControl/>
              <w:spacing w:line="240" w:lineRule="exact"/>
              <w:jc w:val="center"/>
              <w:rPr>
                <w:rFonts w:ascii="仿宋_GB2312" w:eastAsia="仿宋_GB2312" w:hAnsi="仿宋_GB2312" w:cs="仿宋_GB2312"/>
                <w:color w:val="000000"/>
                <w:sz w:val="20"/>
                <w:szCs w:val="20"/>
              </w:rPr>
            </w:pPr>
          </w:p>
        </w:tc>
        <w:tc>
          <w:tcPr>
            <w:tcW w:w="1080"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一级指标</w:t>
            </w:r>
          </w:p>
        </w:tc>
        <w:tc>
          <w:tcPr>
            <w:tcW w:w="1034"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二级指标</w:t>
            </w:r>
          </w:p>
        </w:tc>
        <w:tc>
          <w:tcPr>
            <w:tcW w:w="1270"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三级指标</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年度指标值</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实际完成值</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分值</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得分</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偏差原因分析及改进措施</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产出指标</w:t>
            </w:r>
          </w:p>
          <w:p w:rsidR="00DE449E" w:rsidRDefault="00DE449E" w:rsidP="00FF6B33">
            <w:pPr>
              <w:widowControl/>
              <w:spacing w:line="240" w:lineRule="exact"/>
              <w:jc w:val="center"/>
              <w:rPr>
                <w:rFonts w:ascii="仿宋_GB2312" w:eastAsia="仿宋_GB2312" w:hAnsi="仿宋_GB2312" w:cs="仿宋_GB2312"/>
                <w:color w:val="000000"/>
                <w:sz w:val="20"/>
                <w:szCs w:val="20"/>
              </w:rPr>
            </w:pP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(50分)</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数量指标</w:t>
            </w: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登记业务</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color w:val="000000"/>
                <w:sz w:val="20"/>
                <w:szCs w:val="20"/>
              </w:rPr>
              <w:t>10</w:t>
            </w:r>
            <w:r>
              <w:rPr>
                <w:rFonts w:ascii="仿宋_GB2312" w:eastAsia="仿宋_GB2312" w:hAnsi="仿宋_GB2312" w:cs="仿宋_GB2312" w:hint="eastAsia"/>
                <w:color w:val="000000"/>
                <w:sz w:val="20"/>
                <w:szCs w:val="20"/>
              </w:rPr>
              <w:t>万次</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12.1万次</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color w:val="000000"/>
                <w:sz w:val="20"/>
                <w:szCs w:val="20"/>
              </w:rPr>
            </w:pP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发放证书</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color w:val="000000"/>
                <w:sz w:val="20"/>
                <w:szCs w:val="20"/>
              </w:rPr>
              <w:t>4.8</w:t>
            </w:r>
            <w:r>
              <w:rPr>
                <w:rFonts w:ascii="仿宋_GB2312" w:eastAsia="仿宋_GB2312" w:hAnsi="仿宋_GB2312" w:cs="仿宋_GB2312" w:hint="eastAsia"/>
                <w:color w:val="000000"/>
                <w:sz w:val="20"/>
                <w:szCs w:val="20"/>
              </w:rPr>
              <w:t>万本</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5.6万本</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登记证明</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color w:val="000000"/>
                <w:sz w:val="20"/>
                <w:szCs w:val="20"/>
              </w:rPr>
              <w:t>1.2</w:t>
            </w:r>
            <w:r>
              <w:rPr>
                <w:rFonts w:ascii="仿宋_GB2312" w:eastAsia="仿宋_GB2312" w:hAnsi="仿宋_GB2312" w:cs="仿宋_GB2312" w:hint="eastAsia"/>
                <w:color w:val="000000"/>
                <w:sz w:val="20"/>
                <w:szCs w:val="20"/>
              </w:rPr>
              <w:t>万张</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2.1万张</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质量指标</w:t>
            </w: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实现登记“双平行”，平行派件、平行审核 </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时限缩短</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时限缩短</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center"/>
              <w:rPr>
                <w:rFonts w:ascii="仿宋_GB2312" w:eastAsia="仿宋_GB2312" w:hAnsi="仿宋_GB2312" w:cs="仿宋_GB2312"/>
                <w:color w:val="000000"/>
                <w:sz w:val="20"/>
                <w:szCs w:val="20"/>
              </w:rPr>
            </w:pP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精简申请材料</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有所改善</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有所改善</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完善信息化平台</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有所完善</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有所完善</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时效指标</w:t>
            </w: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在规定时间内</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2023年度</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2023年度</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成本指标</w:t>
            </w: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在预算内</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2632.20万元</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2632.20万元</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效益指标</w:t>
            </w:r>
          </w:p>
          <w:p w:rsidR="00DE449E" w:rsidRDefault="00DE449E" w:rsidP="00FF6B33">
            <w:pPr>
              <w:widowControl/>
              <w:spacing w:line="240" w:lineRule="exact"/>
              <w:jc w:val="left"/>
              <w:rPr>
                <w:rFonts w:ascii="仿宋_GB2312" w:eastAsia="仿宋_GB2312" w:hAnsi="仿宋_GB2312" w:cs="仿宋_GB2312"/>
                <w:color w:val="000000"/>
                <w:sz w:val="20"/>
                <w:szCs w:val="20"/>
              </w:rPr>
            </w:pPr>
          </w:p>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（30分）</w:t>
            </w:r>
          </w:p>
          <w:p w:rsidR="00DE449E" w:rsidRDefault="00DE449E" w:rsidP="00FF6B33">
            <w:pPr>
              <w:widowControl/>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经济效</w:t>
            </w: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益指标</w:t>
            </w: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完成不动产登记收费</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w:t>
            </w:r>
            <w:r>
              <w:rPr>
                <w:rFonts w:ascii="仿宋_GB2312" w:eastAsia="仿宋_GB2312" w:hAnsi="仿宋_GB2312" w:cs="仿宋_GB2312"/>
                <w:color w:val="000000"/>
                <w:sz w:val="20"/>
                <w:szCs w:val="20"/>
              </w:rPr>
              <w:t>72</w:t>
            </w:r>
            <w:r>
              <w:rPr>
                <w:rFonts w:ascii="仿宋_GB2312" w:eastAsia="仿宋_GB2312" w:hAnsi="仿宋_GB2312" w:cs="仿宋_GB2312" w:hint="eastAsia"/>
                <w:color w:val="000000"/>
                <w:sz w:val="20"/>
                <w:szCs w:val="20"/>
              </w:rPr>
              <w:t>%</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社会效</w:t>
            </w: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益指标</w:t>
            </w: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提升工作效率，节约办事群众的时间、资金成本</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效益明显</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效益明显</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生态效</w:t>
            </w: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益指标</w:t>
            </w: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不适用</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不适用</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不适用</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trHeight w:val="290"/>
          <w:jc w:val="center"/>
        </w:trPr>
        <w:tc>
          <w:tcPr>
            <w:tcW w:w="1080" w:type="dxa"/>
            <w:vMerge/>
            <w:tcBorders>
              <w:left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可持续影响指标</w:t>
            </w:r>
          </w:p>
        </w:tc>
        <w:tc>
          <w:tcPr>
            <w:tcW w:w="127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保障不动产登记工作顺利开展和完成</w:t>
            </w:r>
          </w:p>
        </w:tc>
        <w:tc>
          <w:tcPr>
            <w:tcW w:w="1311"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可持续性</w:t>
            </w:r>
          </w:p>
        </w:tc>
        <w:tc>
          <w:tcPr>
            <w:tcW w:w="1269"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可持续性</w:t>
            </w:r>
          </w:p>
        </w:tc>
        <w:tc>
          <w:tcPr>
            <w:tcW w:w="716"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46"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trHeight w:val="330"/>
          <w:jc w:val="center"/>
        </w:trPr>
        <w:tc>
          <w:tcPr>
            <w:tcW w:w="1080" w:type="dxa"/>
            <w:vMerge/>
            <w:tcBorders>
              <w:left w:val="single" w:sz="4" w:space="0" w:color="auto"/>
              <w:right w:val="single" w:sz="4" w:space="0" w:color="auto"/>
            </w:tcBorders>
            <w:vAlign w:val="center"/>
          </w:tcPr>
          <w:p w:rsidR="00DE449E" w:rsidRDefault="00DE449E" w:rsidP="00FF6B33">
            <w:pPr>
              <w:spacing w:line="240" w:lineRule="exact"/>
              <w:jc w:val="left"/>
              <w:rPr>
                <w:rFonts w:ascii="仿宋_GB2312" w:eastAsia="仿宋_GB2312" w:hAnsi="仿宋_GB2312" w:cs="仿宋_GB2312"/>
                <w:color w:val="000000"/>
                <w:sz w:val="20"/>
                <w:szCs w:val="20"/>
              </w:rPr>
            </w:pPr>
          </w:p>
        </w:tc>
        <w:tc>
          <w:tcPr>
            <w:tcW w:w="1080" w:type="dxa"/>
            <w:tcBorders>
              <w:top w:val="single" w:sz="4" w:space="0" w:color="auto"/>
              <w:left w:val="nil"/>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满意度</w:t>
            </w: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指标</w:t>
            </w:r>
          </w:p>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（10分）</w:t>
            </w:r>
          </w:p>
        </w:tc>
        <w:tc>
          <w:tcPr>
            <w:tcW w:w="1034" w:type="dxa"/>
            <w:tcBorders>
              <w:top w:val="single" w:sz="4" w:space="0" w:color="auto"/>
              <w:left w:val="nil"/>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服务对象满意度指标</w:t>
            </w:r>
          </w:p>
        </w:tc>
        <w:tc>
          <w:tcPr>
            <w:tcW w:w="1270" w:type="dxa"/>
            <w:tcBorders>
              <w:top w:val="single" w:sz="4" w:space="0" w:color="auto"/>
              <w:left w:val="nil"/>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服务对象满意度</w:t>
            </w:r>
          </w:p>
        </w:tc>
        <w:tc>
          <w:tcPr>
            <w:tcW w:w="1311"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≥95%</w:t>
            </w:r>
          </w:p>
        </w:tc>
        <w:tc>
          <w:tcPr>
            <w:tcW w:w="1269"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95%</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无偏差</w:t>
            </w:r>
          </w:p>
        </w:tc>
      </w:tr>
      <w:tr w:rsidR="00DE449E" w:rsidTr="00FF6B33">
        <w:trPr>
          <w:trHeight w:val="270"/>
          <w:jc w:val="center"/>
        </w:trPr>
        <w:tc>
          <w:tcPr>
            <w:tcW w:w="7044" w:type="dxa"/>
            <w:gridSpan w:val="6"/>
            <w:tcBorders>
              <w:top w:val="single" w:sz="4" w:space="0" w:color="auto"/>
              <w:left w:val="single" w:sz="4" w:space="0" w:color="auto"/>
              <w:bottom w:val="single" w:sz="4" w:space="0" w:color="auto"/>
              <w:right w:val="single" w:sz="4" w:space="0" w:color="000000"/>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总分</w:t>
            </w:r>
          </w:p>
        </w:tc>
        <w:tc>
          <w:tcPr>
            <w:tcW w:w="71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1446" w:type="dxa"/>
            <w:tcBorders>
              <w:top w:val="nil"/>
              <w:left w:val="nil"/>
              <w:bottom w:val="single" w:sz="4" w:space="0" w:color="auto"/>
              <w:right w:val="single" w:sz="4" w:space="0" w:color="auto"/>
            </w:tcBorders>
            <w:vAlign w:val="center"/>
          </w:tcPr>
          <w:p w:rsidR="00DE449E" w:rsidRDefault="00DE449E" w:rsidP="00FF6B33">
            <w:pPr>
              <w:widowControl/>
              <w:spacing w:line="240" w:lineRule="exact"/>
              <w:jc w:val="left"/>
              <w:rPr>
                <w:rFonts w:ascii="仿宋_GB2312" w:eastAsia="仿宋_GB2312" w:hAnsi="仿宋_GB2312" w:cs="仿宋_GB2312"/>
                <w:color w:val="000000"/>
                <w:sz w:val="20"/>
                <w:szCs w:val="20"/>
              </w:rPr>
            </w:pPr>
          </w:p>
        </w:tc>
      </w:tr>
    </w:tbl>
    <w:p w:rsidR="00DE449E" w:rsidRDefault="00DE449E" w:rsidP="00DE449E">
      <w:r>
        <w:rPr>
          <w:rFonts w:ascii="Times New Roman" w:eastAsia="仿宋_GB2312" w:hAnsi="Times New Roman"/>
          <w:sz w:val="22"/>
        </w:rPr>
        <w:t>填表人：</w:t>
      </w:r>
      <w:r>
        <w:rPr>
          <w:rFonts w:ascii="Times New Roman" w:eastAsia="仿宋_GB2312" w:hAnsi="Times New Roman"/>
          <w:sz w:val="22"/>
        </w:rPr>
        <w:t xml:space="preserve">      </w:t>
      </w:r>
      <w:r>
        <w:rPr>
          <w:rFonts w:ascii="Times New Roman" w:eastAsia="仿宋_GB2312" w:hAnsi="Times New Roman"/>
          <w:sz w:val="22"/>
        </w:rPr>
        <w:t>填报日期：</w:t>
      </w:r>
      <w:r>
        <w:rPr>
          <w:rFonts w:ascii="Times New Roman" w:eastAsia="仿宋_GB2312" w:hAnsi="Times New Roman"/>
          <w:sz w:val="22"/>
        </w:rPr>
        <w:t xml:space="preserve">         </w:t>
      </w:r>
      <w:r>
        <w:rPr>
          <w:rFonts w:ascii="Times New Roman" w:eastAsia="仿宋_GB2312" w:hAnsi="Times New Roman"/>
          <w:sz w:val="22"/>
        </w:rPr>
        <w:t>联系电话：</w:t>
      </w:r>
      <w:r>
        <w:rPr>
          <w:rFonts w:ascii="Times New Roman" w:eastAsia="仿宋_GB2312" w:hAnsi="Times New Roman"/>
          <w:sz w:val="22"/>
        </w:rPr>
        <w:t xml:space="preserve">     </w:t>
      </w:r>
      <w:r>
        <w:rPr>
          <w:rFonts w:ascii="Times New Roman" w:eastAsia="仿宋_GB2312" w:hAnsi="Times New Roman" w:hint="eastAsia"/>
          <w:sz w:val="22"/>
        </w:rPr>
        <w:t xml:space="preserve">           </w:t>
      </w:r>
      <w:r>
        <w:rPr>
          <w:rFonts w:ascii="Times New Roman" w:eastAsia="仿宋_GB2312" w:hAnsi="Times New Roman"/>
          <w:sz w:val="22"/>
        </w:rPr>
        <w:t>单位负责人签字：</w:t>
      </w:r>
    </w:p>
    <w:p w:rsidR="00DE449E" w:rsidRDefault="00DE449E" w:rsidP="00DE449E">
      <w:pPr>
        <w:widowControl/>
        <w:spacing w:line="600" w:lineRule="exact"/>
        <w:jc w:val="left"/>
        <w:rPr>
          <w:rFonts w:ascii="Times New Roman" w:eastAsia="黑体" w:hAnsi="Times New Roman"/>
          <w:sz w:val="32"/>
          <w:szCs w:val="32"/>
        </w:rPr>
      </w:pPr>
      <w:r>
        <w:rPr>
          <w:rFonts w:ascii="黑体" w:eastAsia="黑体" w:hAnsi="黑体" w:cs="黑体" w:hint="eastAsia"/>
          <w:sz w:val="32"/>
          <w:szCs w:val="32"/>
        </w:rPr>
        <w:lastRenderedPageBreak/>
        <w:t>附件3</w:t>
      </w:r>
    </w:p>
    <w:p w:rsidR="00DE449E" w:rsidRDefault="00DE449E" w:rsidP="00DE449E">
      <w:pPr>
        <w:widowControl/>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2023年度项目支出绩效自评表</w:t>
      </w:r>
    </w:p>
    <w:tbl>
      <w:tblPr>
        <w:tblW w:w="9851" w:type="dxa"/>
        <w:jc w:val="center"/>
        <w:tblLook w:val="04A0" w:firstRow="1" w:lastRow="0" w:firstColumn="1" w:lastColumn="0" w:noHBand="0" w:noVBand="1"/>
      </w:tblPr>
      <w:tblGrid>
        <w:gridCol w:w="1080"/>
        <w:gridCol w:w="1080"/>
        <w:gridCol w:w="1080"/>
        <w:gridCol w:w="1224"/>
        <w:gridCol w:w="1134"/>
        <w:gridCol w:w="1134"/>
        <w:gridCol w:w="828"/>
        <w:gridCol w:w="873"/>
        <w:gridCol w:w="1418"/>
      </w:tblGrid>
      <w:tr w:rsidR="00DE449E" w:rsidTr="00FF6B33">
        <w:trPr>
          <w:jc w:val="center"/>
        </w:trPr>
        <w:tc>
          <w:tcPr>
            <w:tcW w:w="108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项目支</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出名称</w:t>
            </w:r>
          </w:p>
        </w:tc>
        <w:tc>
          <w:tcPr>
            <w:tcW w:w="8771" w:type="dxa"/>
            <w:gridSpan w:val="8"/>
            <w:tcBorders>
              <w:top w:val="single" w:sz="4" w:space="0" w:color="auto"/>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中心城区房地产办证专项行动　</w:t>
            </w:r>
          </w:p>
        </w:tc>
      </w:tr>
      <w:tr w:rsidR="00DE449E" w:rsidTr="00FF6B33">
        <w:trPr>
          <w:trHeight w:val="397"/>
          <w:jc w:val="center"/>
        </w:trPr>
        <w:tc>
          <w:tcPr>
            <w:tcW w:w="1080" w:type="dxa"/>
            <w:tcBorders>
              <w:top w:val="nil"/>
              <w:left w:val="single" w:sz="4" w:space="0" w:color="auto"/>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主管部门</w:t>
            </w:r>
          </w:p>
        </w:tc>
        <w:tc>
          <w:tcPr>
            <w:tcW w:w="4518" w:type="dxa"/>
            <w:gridSpan w:val="4"/>
            <w:tcBorders>
              <w:top w:val="single" w:sz="4" w:space="0" w:color="auto"/>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hint="eastAsia"/>
                <w:color w:val="000000"/>
                <w:sz w:val="20"/>
                <w:szCs w:val="20"/>
              </w:rPr>
            </w:pPr>
            <w:r>
              <w:rPr>
                <w:rFonts w:ascii="仿宋_GB2312" w:eastAsia="仿宋_GB2312" w:hAnsi="仿宋_GB2312" w:cs="仿宋_GB2312" w:hint="eastAsia"/>
                <w:color w:val="000000"/>
                <w:sz w:val="20"/>
                <w:szCs w:val="20"/>
              </w:rPr>
              <w:t xml:space="preserve">　</w:t>
            </w:r>
            <w:r w:rsidR="004A4BF5">
              <w:rPr>
                <w:rFonts w:ascii="仿宋_GB2312" w:eastAsia="仿宋_GB2312" w:hAnsi="仿宋_GB2312" w:cs="仿宋_GB2312" w:hint="eastAsia"/>
                <w:color w:val="000000"/>
                <w:sz w:val="20"/>
                <w:szCs w:val="20"/>
              </w:rPr>
              <w:t>岳阳</w:t>
            </w:r>
            <w:r w:rsidR="004A4BF5">
              <w:rPr>
                <w:rFonts w:ascii="仿宋_GB2312" w:eastAsia="仿宋_GB2312" w:hAnsi="仿宋_GB2312" w:cs="仿宋_GB2312"/>
                <w:color w:val="000000"/>
                <w:sz w:val="20"/>
                <w:szCs w:val="20"/>
              </w:rPr>
              <w:t>市自然资源和规划局</w:t>
            </w:r>
          </w:p>
        </w:tc>
        <w:tc>
          <w:tcPr>
            <w:tcW w:w="1134" w:type="dxa"/>
            <w:tcBorders>
              <w:top w:val="single" w:sz="4" w:space="0" w:color="auto"/>
              <w:left w:val="nil"/>
              <w:bottom w:val="single" w:sz="4" w:space="0" w:color="auto"/>
              <w:right w:val="single" w:sz="4" w:space="0" w:color="000000"/>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实施单位</w:t>
            </w:r>
          </w:p>
        </w:tc>
        <w:tc>
          <w:tcPr>
            <w:tcW w:w="3119" w:type="dxa"/>
            <w:gridSpan w:val="3"/>
            <w:tcBorders>
              <w:top w:val="single" w:sz="4" w:space="0" w:color="auto"/>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hint="eastAsia"/>
                <w:color w:val="000000"/>
                <w:sz w:val="20"/>
                <w:szCs w:val="20"/>
              </w:rPr>
            </w:pPr>
            <w:r>
              <w:rPr>
                <w:rFonts w:ascii="仿宋_GB2312" w:eastAsia="仿宋_GB2312" w:hAnsi="仿宋_GB2312" w:cs="仿宋_GB2312" w:hint="eastAsia"/>
                <w:color w:val="000000"/>
                <w:sz w:val="20"/>
                <w:szCs w:val="20"/>
              </w:rPr>
              <w:t xml:space="preserve">　</w:t>
            </w:r>
            <w:r w:rsidR="004A4BF5">
              <w:rPr>
                <w:rFonts w:ascii="仿宋_GB2312" w:eastAsia="仿宋_GB2312" w:hAnsi="仿宋_GB2312" w:cs="仿宋_GB2312" w:hint="eastAsia"/>
                <w:color w:val="000000"/>
                <w:sz w:val="20"/>
                <w:szCs w:val="20"/>
              </w:rPr>
              <w:t>岳阳</w:t>
            </w:r>
            <w:r w:rsidR="004A4BF5">
              <w:rPr>
                <w:rFonts w:ascii="仿宋_GB2312" w:eastAsia="仿宋_GB2312" w:hAnsi="仿宋_GB2312" w:cs="仿宋_GB2312"/>
                <w:color w:val="000000"/>
                <w:sz w:val="20"/>
                <w:szCs w:val="20"/>
              </w:rPr>
              <w:t>市不动产登记中</w:t>
            </w:r>
            <w:r w:rsidR="004A4BF5">
              <w:rPr>
                <w:rFonts w:ascii="仿宋_GB2312" w:eastAsia="仿宋_GB2312" w:hAnsi="仿宋_GB2312" w:cs="仿宋_GB2312" w:hint="eastAsia"/>
                <w:color w:val="000000"/>
                <w:sz w:val="20"/>
                <w:szCs w:val="20"/>
              </w:rPr>
              <w:t>心</w:t>
            </w:r>
            <w:bookmarkStart w:id="0" w:name="_GoBack"/>
            <w:bookmarkEnd w:id="0"/>
          </w:p>
        </w:tc>
      </w:tr>
      <w:tr w:rsidR="00DE449E" w:rsidTr="00FF6B33">
        <w:trPr>
          <w:jc w:val="center"/>
        </w:trPr>
        <w:tc>
          <w:tcPr>
            <w:tcW w:w="1080" w:type="dxa"/>
            <w:vMerge w:val="restart"/>
            <w:tcBorders>
              <w:top w:val="nil"/>
              <w:left w:val="single" w:sz="4" w:space="0" w:color="auto"/>
              <w:bottom w:val="single" w:sz="4" w:space="0" w:color="000000"/>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项目资金</w:t>
            </w:r>
            <w:r>
              <w:rPr>
                <w:rFonts w:ascii="仿宋_GB2312" w:eastAsia="仿宋_GB2312" w:hAnsi="仿宋_GB2312" w:cs="仿宋_GB2312" w:hint="eastAsia"/>
                <w:color w:val="000000"/>
                <w:sz w:val="20"/>
                <w:szCs w:val="20"/>
              </w:rPr>
              <w:br/>
              <w:t>（万元）</w:t>
            </w:r>
          </w:p>
        </w:tc>
        <w:tc>
          <w:tcPr>
            <w:tcW w:w="2160" w:type="dxa"/>
            <w:gridSpan w:val="2"/>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年初</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预算数</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全年</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预算数</w:t>
            </w:r>
          </w:p>
        </w:tc>
        <w:tc>
          <w:tcPr>
            <w:tcW w:w="1134" w:type="dxa"/>
            <w:tcBorders>
              <w:top w:val="nil"/>
              <w:left w:val="nil"/>
              <w:bottom w:val="single" w:sz="4" w:space="0" w:color="auto"/>
              <w:right w:val="single" w:sz="4" w:space="0" w:color="auto"/>
            </w:tcBorders>
            <w:vAlign w:val="center"/>
          </w:tcPr>
          <w:p w:rsidR="00DE449E" w:rsidRDefault="00DE449E" w:rsidP="00FF6B33">
            <w:pPr>
              <w:spacing w:line="2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全年</w:t>
            </w:r>
          </w:p>
          <w:p w:rsidR="00DE449E" w:rsidRDefault="00DE449E" w:rsidP="00FF6B33">
            <w:pPr>
              <w:spacing w:line="2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执行数</w:t>
            </w:r>
          </w:p>
        </w:tc>
        <w:tc>
          <w:tcPr>
            <w:tcW w:w="828" w:type="dxa"/>
            <w:tcBorders>
              <w:top w:val="nil"/>
              <w:left w:val="nil"/>
              <w:bottom w:val="single" w:sz="4" w:space="0" w:color="auto"/>
              <w:right w:val="single" w:sz="4" w:space="0" w:color="auto"/>
            </w:tcBorders>
            <w:vAlign w:val="center"/>
          </w:tcPr>
          <w:p w:rsidR="00DE449E" w:rsidRDefault="00DE449E" w:rsidP="00FF6B33">
            <w:pPr>
              <w:spacing w:line="2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分值</w:t>
            </w:r>
          </w:p>
        </w:tc>
        <w:tc>
          <w:tcPr>
            <w:tcW w:w="873" w:type="dxa"/>
            <w:tcBorders>
              <w:top w:val="nil"/>
              <w:left w:val="nil"/>
              <w:bottom w:val="single" w:sz="4" w:space="0" w:color="auto"/>
              <w:right w:val="single" w:sz="4" w:space="0" w:color="auto"/>
            </w:tcBorders>
            <w:vAlign w:val="center"/>
          </w:tcPr>
          <w:p w:rsidR="00DE449E" w:rsidRDefault="00DE449E" w:rsidP="00FF6B33">
            <w:pPr>
              <w:spacing w:line="2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执行率</w:t>
            </w:r>
          </w:p>
        </w:tc>
        <w:tc>
          <w:tcPr>
            <w:tcW w:w="1418" w:type="dxa"/>
            <w:tcBorders>
              <w:top w:val="nil"/>
              <w:left w:val="nil"/>
              <w:bottom w:val="single" w:sz="4" w:space="0" w:color="auto"/>
              <w:right w:val="single" w:sz="4" w:space="0" w:color="auto"/>
            </w:tcBorders>
            <w:vAlign w:val="center"/>
          </w:tcPr>
          <w:p w:rsidR="00DE449E" w:rsidRDefault="00DE449E" w:rsidP="00FF6B33">
            <w:pPr>
              <w:spacing w:line="2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得分</w:t>
            </w:r>
          </w:p>
        </w:tc>
      </w:tr>
      <w:tr w:rsidR="00DE449E" w:rsidTr="00FF6B33">
        <w:trPr>
          <w:jc w:val="center"/>
        </w:trPr>
        <w:tc>
          <w:tcPr>
            <w:tcW w:w="1080" w:type="dxa"/>
            <w:vMerge/>
            <w:tcBorders>
              <w:top w:val="nil"/>
              <w:left w:val="single" w:sz="4" w:space="0" w:color="auto"/>
              <w:bottom w:val="single" w:sz="4" w:space="0" w:color="000000"/>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p>
        </w:tc>
        <w:tc>
          <w:tcPr>
            <w:tcW w:w="2160" w:type="dxa"/>
            <w:gridSpan w:val="2"/>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年度资金总额　</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0.00</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159.34</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159.34</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lang w:eastAsia="en-US"/>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r>
      <w:tr w:rsidR="00DE449E" w:rsidTr="00FF6B33">
        <w:trPr>
          <w:jc w:val="center"/>
        </w:trPr>
        <w:tc>
          <w:tcPr>
            <w:tcW w:w="1080" w:type="dxa"/>
            <w:vMerge/>
            <w:tcBorders>
              <w:top w:val="nil"/>
              <w:left w:val="single" w:sz="4" w:space="0" w:color="auto"/>
              <w:bottom w:val="single" w:sz="4" w:space="0" w:color="000000"/>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p>
        </w:tc>
        <w:tc>
          <w:tcPr>
            <w:tcW w:w="2160" w:type="dxa"/>
            <w:gridSpan w:val="2"/>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其中：当年财政拨款　</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0.00</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159.34</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159.34</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p>
        </w:tc>
      </w:tr>
      <w:tr w:rsidR="00DE449E" w:rsidTr="00FF6B33">
        <w:trPr>
          <w:jc w:val="center"/>
        </w:trPr>
        <w:tc>
          <w:tcPr>
            <w:tcW w:w="1080" w:type="dxa"/>
            <w:vMerge/>
            <w:tcBorders>
              <w:top w:val="nil"/>
              <w:left w:val="single" w:sz="4" w:space="0" w:color="auto"/>
              <w:bottom w:val="single" w:sz="4" w:space="0" w:color="000000"/>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p>
        </w:tc>
        <w:tc>
          <w:tcPr>
            <w:tcW w:w="2160" w:type="dxa"/>
            <w:gridSpan w:val="2"/>
            <w:tcBorders>
              <w:top w:val="nil"/>
              <w:left w:val="nil"/>
              <w:bottom w:val="single" w:sz="4" w:space="0" w:color="auto"/>
              <w:right w:val="single" w:sz="4" w:space="0" w:color="auto"/>
            </w:tcBorders>
            <w:vAlign w:val="center"/>
          </w:tcPr>
          <w:p w:rsidR="00DE449E" w:rsidRDefault="00DE449E" w:rsidP="00FF6B33">
            <w:pPr>
              <w:widowControl/>
              <w:spacing w:line="260" w:lineRule="exact"/>
              <w:ind w:firstLineChars="300" w:firstLine="6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上年结转资金　</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top w:val="nil"/>
              <w:left w:val="single" w:sz="4" w:space="0" w:color="auto"/>
              <w:bottom w:val="single" w:sz="4" w:space="0" w:color="000000"/>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p>
        </w:tc>
        <w:tc>
          <w:tcPr>
            <w:tcW w:w="2160" w:type="dxa"/>
            <w:gridSpan w:val="2"/>
            <w:tcBorders>
              <w:top w:val="nil"/>
              <w:left w:val="nil"/>
              <w:bottom w:val="single" w:sz="4" w:space="0" w:color="auto"/>
              <w:right w:val="single" w:sz="4" w:space="0" w:color="auto"/>
            </w:tcBorders>
            <w:vAlign w:val="center"/>
          </w:tcPr>
          <w:p w:rsidR="00DE449E" w:rsidRDefault="00DE449E" w:rsidP="00FF6B33">
            <w:pPr>
              <w:widowControl/>
              <w:spacing w:line="260" w:lineRule="exact"/>
              <w:ind w:firstLineChars="300" w:firstLine="6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其他资金</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val="restart"/>
            <w:tcBorders>
              <w:top w:val="nil"/>
              <w:left w:val="single" w:sz="4" w:space="0" w:color="auto"/>
              <w:bottom w:val="single" w:sz="4" w:space="0" w:color="000000"/>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年度总体目标</w:t>
            </w:r>
          </w:p>
        </w:tc>
        <w:tc>
          <w:tcPr>
            <w:tcW w:w="4518" w:type="dxa"/>
            <w:gridSpan w:val="4"/>
            <w:tcBorders>
              <w:top w:val="single" w:sz="4" w:space="0" w:color="auto"/>
              <w:left w:val="nil"/>
              <w:bottom w:val="single" w:sz="4" w:space="0" w:color="auto"/>
              <w:right w:val="single" w:sz="4" w:space="0" w:color="000000"/>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预期目标</w:t>
            </w:r>
          </w:p>
        </w:tc>
        <w:tc>
          <w:tcPr>
            <w:tcW w:w="4253" w:type="dxa"/>
            <w:gridSpan w:val="4"/>
            <w:tcBorders>
              <w:top w:val="single" w:sz="4" w:space="0" w:color="auto"/>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实际完成情况　</w:t>
            </w:r>
          </w:p>
        </w:tc>
      </w:tr>
      <w:tr w:rsidR="00DE449E" w:rsidTr="00FF6B33">
        <w:trPr>
          <w:jc w:val="center"/>
        </w:trPr>
        <w:tc>
          <w:tcPr>
            <w:tcW w:w="1080" w:type="dxa"/>
            <w:vMerge/>
            <w:tcBorders>
              <w:top w:val="nil"/>
              <w:left w:val="single" w:sz="4" w:space="0" w:color="auto"/>
              <w:bottom w:val="single" w:sz="4" w:space="0" w:color="000000"/>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p>
        </w:tc>
        <w:tc>
          <w:tcPr>
            <w:tcW w:w="4518" w:type="dxa"/>
            <w:gridSpan w:val="4"/>
            <w:tcBorders>
              <w:top w:val="single" w:sz="4" w:space="0" w:color="auto"/>
              <w:left w:val="nil"/>
              <w:bottom w:val="single" w:sz="4" w:space="0" w:color="auto"/>
              <w:right w:val="single" w:sz="4" w:space="0" w:color="000000"/>
            </w:tcBorders>
            <w:vAlign w:val="center"/>
          </w:tcPr>
          <w:p w:rsidR="00DE449E" w:rsidRDefault="00DE449E" w:rsidP="00FF6B33">
            <w:pPr>
              <w:pStyle w:val="TableText"/>
              <w:rPr>
                <w:lang w:eastAsia="zh-CN"/>
              </w:rPr>
            </w:pPr>
            <w:r>
              <w:rPr>
                <w:rFonts w:hint="eastAsia"/>
                <w:lang w:eastAsia="zh-CN"/>
              </w:rPr>
              <w:t>已经办理房屋栋证但尚未办理分户证的新建商品房，</w:t>
            </w:r>
            <w:r>
              <w:rPr>
                <w:rFonts w:eastAsia="宋体" w:hint="eastAsia"/>
                <w:lang w:eastAsia="zh-CN"/>
              </w:rPr>
              <w:t>督促办理房产证，制定</w:t>
            </w:r>
            <w:r>
              <w:rPr>
                <w:rFonts w:hint="eastAsia"/>
                <w:lang w:eastAsia="zh-CN"/>
              </w:rPr>
              <w:t>2023年7月1日之前完成6000套，至2023年12月31日前共完成20000套的目标。</w:t>
            </w:r>
          </w:p>
        </w:tc>
        <w:tc>
          <w:tcPr>
            <w:tcW w:w="4253" w:type="dxa"/>
            <w:gridSpan w:val="4"/>
            <w:tcBorders>
              <w:top w:val="single" w:sz="4" w:space="0" w:color="auto"/>
              <w:left w:val="nil"/>
              <w:bottom w:val="single" w:sz="4" w:space="0" w:color="auto"/>
              <w:right w:val="single" w:sz="4" w:space="0" w:color="auto"/>
            </w:tcBorders>
            <w:vAlign w:val="center"/>
          </w:tcPr>
          <w:p w:rsidR="00DE449E" w:rsidRDefault="00DE449E" w:rsidP="00FF6B33">
            <w:pPr>
              <w:pStyle w:val="TableText"/>
              <w:numPr>
                <w:ilvl w:val="0"/>
                <w:numId w:val="1"/>
              </w:numPr>
              <w:rPr>
                <w:rFonts w:eastAsia="宋体"/>
                <w:lang w:eastAsia="zh-CN"/>
              </w:rPr>
            </w:pPr>
            <w:r>
              <w:rPr>
                <w:rFonts w:eastAsia="宋体" w:hint="eastAsia"/>
                <w:lang w:eastAsia="zh-CN"/>
              </w:rPr>
              <w:t>房地产办证专项行动的对象为</w:t>
            </w:r>
            <w:r>
              <w:rPr>
                <w:rFonts w:eastAsia="宋体" w:hint="eastAsia"/>
                <w:lang w:eastAsia="zh-CN"/>
              </w:rPr>
              <w:t>2023</w:t>
            </w:r>
            <w:r>
              <w:rPr>
                <w:rFonts w:eastAsia="宋体" w:hint="eastAsia"/>
                <w:lang w:eastAsia="zh-CN"/>
              </w:rPr>
              <w:t>年</w:t>
            </w:r>
            <w:r>
              <w:rPr>
                <w:rFonts w:eastAsia="宋体" w:hint="eastAsia"/>
                <w:lang w:eastAsia="zh-CN"/>
              </w:rPr>
              <w:t>1</w:t>
            </w:r>
            <w:r>
              <w:rPr>
                <w:rFonts w:eastAsia="宋体" w:hint="eastAsia"/>
                <w:lang w:eastAsia="zh-CN"/>
              </w:rPr>
              <w:t>月</w:t>
            </w:r>
            <w:r>
              <w:rPr>
                <w:rFonts w:eastAsia="宋体" w:hint="eastAsia"/>
                <w:lang w:eastAsia="zh-CN"/>
              </w:rPr>
              <w:t>1</w:t>
            </w:r>
            <w:r>
              <w:rPr>
                <w:rFonts w:eastAsia="宋体" w:hint="eastAsia"/>
                <w:lang w:eastAsia="zh-CN"/>
              </w:rPr>
              <w:t>日之前达到办理分户证条件的购房人共</w:t>
            </w:r>
            <w:r>
              <w:rPr>
                <w:rFonts w:eastAsia="宋体" w:hint="eastAsia"/>
                <w:lang w:eastAsia="zh-CN"/>
              </w:rPr>
              <w:t>24746</w:t>
            </w:r>
            <w:r>
              <w:rPr>
                <w:rFonts w:eastAsia="宋体" w:hint="eastAsia"/>
                <w:lang w:eastAsia="zh-CN"/>
              </w:rPr>
              <w:t>户，截至年底共办结</w:t>
            </w:r>
            <w:r>
              <w:rPr>
                <w:rFonts w:eastAsia="宋体" w:hint="eastAsia"/>
                <w:lang w:eastAsia="zh-CN"/>
              </w:rPr>
              <w:t>11089</w:t>
            </w:r>
            <w:r>
              <w:rPr>
                <w:rFonts w:eastAsia="宋体" w:hint="eastAsia"/>
                <w:lang w:eastAsia="zh-CN"/>
              </w:rPr>
              <w:t>户，完成比例</w:t>
            </w:r>
            <w:r>
              <w:rPr>
                <w:rFonts w:eastAsia="宋体" w:hint="eastAsia"/>
                <w:lang w:eastAsia="zh-CN"/>
              </w:rPr>
              <w:t>44.81%</w:t>
            </w:r>
            <w:r>
              <w:rPr>
                <w:rFonts w:eastAsia="宋体" w:hint="eastAsia"/>
                <w:lang w:eastAsia="zh-CN"/>
              </w:rPr>
              <w:t>，剩余</w:t>
            </w:r>
            <w:r>
              <w:rPr>
                <w:rFonts w:eastAsia="宋体" w:hint="eastAsia"/>
                <w:lang w:eastAsia="zh-CN"/>
              </w:rPr>
              <w:t>13657</w:t>
            </w:r>
            <w:r>
              <w:rPr>
                <w:rFonts w:eastAsia="宋体" w:hint="eastAsia"/>
                <w:lang w:eastAsia="zh-CN"/>
              </w:rPr>
              <w:t>户。</w:t>
            </w:r>
            <w:r w:rsidRPr="00A81E5F">
              <w:rPr>
                <w:rFonts w:eastAsia="宋体" w:hint="eastAsia"/>
                <w:lang w:eastAsia="zh-CN"/>
              </w:rPr>
              <w:t>专项行动的开展，在</w:t>
            </w:r>
            <w:r w:rsidRPr="00A81E5F">
              <w:rPr>
                <w:rFonts w:eastAsia="宋体"/>
                <w:lang w:eastAsia="zh-CN"/>
              </w:rPr>
              <w:t>2023</w:t>
            </w:r>
            <w:r w:rsidRPr="00A81E5F">
              <w:rPr>
                <w:rFonts w:eastAsia="宋体"/>
                <w:lang w:eastAsia="zh-CN"/>
              </w:rPr>
              <w:t>年房地产延续低迷状态的情况下，新建商品房的契税也同比增长了</w:t>
            </w:r>
            <w:r w:rsidRPr="00A81E5F">
              <w:rPr>
                <w:rFonts w:eastAsia="宋体"/>
                <w:lang w:eastAsia="zh-CN"/>
              </w:rPr>
              <w:t>5000</w:t>
            </w:r>
            <w:r w:rsidRPr="00A81E5F">
              <w:rPr>
                <w:rFonts w:eastAsia="宋体"/>
                <w:lang w:eastAsia="zh-CN"/>
              </w:rPr>
              <w:t>多万</w:t>
            </w:r>
            <w:r>
              <w:rPr>
                <w:rFonts w:eastAsia="宋体" w:hint="eastAsia"/>
                <w:lang w:eastAsia="zh-CN"/>
              </w:rPr>
              <w:t>。</w:t>
            </w:r>
          </w:p>
          <w:p w:rsidR="00DE449E" w:rsidRDefault="00DE449E" w:rsidP="00FF6B33">
            <w:pPr>
              <w:pStyle w:val="TableText"/>
              <w:numPr>
                <w:ilvl w:val="0"/>
                <w:numId w:val="1"/>
              </w:numPr>
              <w:rPr>
                <w:rFonts w:eastAsia="宋体"/>
                <w:lang w:eastAsia="zh-CN"/>
              </w:rPr>
            </w:pPr>
            <w:r>
              <w:rPr>
                <w:rFonts w:eastAsia="宋体" w:hint="eastAsia"/>
                <w:lang w:eastAsia="zh-CN"/>
              </w:rPr>
              <w:t>建立机制，推动协作配合。定期召开调度会议，共同推进，解决疑难问题。</w:t>
            </w:r>
          </w:p>
          <w:p w:rsidR="00DE449E" w:rsidRDefault="00DE449E" w:rsidP="00FF6B33">
            <w:pPr>
              <w:pStyle w:val="TableText"/>
              <w:numPr>
                <w:ilvl w:val="0"/>
                <w:numId w:val="1"/>
              </w:numPr>
              <w:rPr>
                <w:rFonts w:eastAsia="宋体"/>
                <w:lang w:eastAsia="zh-CN"/>
              </w:rPr>
            </w:pPr>
            <w:r>
              <w:rPr>
                <w:rFonts w:eastAsia="宋体"/>
                <w:lang w:eastAsia="zh-CN"/>
              </w:rPr>
              <w:t>注重引导，强化宣传效果。</w:t>
            </w:r>
            <w:r>
              <w:rPr>
                <w:rFonts w:eastAsia="宋体" w:hint="eastAsia"/>
                <w:lang w:eastAsia="zh-CN"/>
              </w:rPr>
              <w:t>通过宣传进小区、宣传到每一个购房人、使用新媒体宣传，保障购房人的权益。</w:t>
            </w:r>
          </w:p>
        </w:tc>
      </w:tr>
      <w:tr w:rsidR="00DE449E" w:rsidTr="00FF6B33">
        <w:trPr>
          <w:jc w:val="center"/>
        </w:trPr>
        <w:tc>
          <w:tcPr>
            <w:tcW w:w="1080" w:type="dxa"/>
            <w:vMerge w:val="restart"/>
            <w:tcBorders>
              <w:top w:val="nil"/>
              <w:left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绩</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指</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标</w:t>
            </w:r>
          </w:p>
        </w:tc>
        <w:tc>
          <w:tcPr>
            <w:tcW w:w="1080"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一级指标</w:t>
            </w:r>
          </w:p>
        </w:tc>
        <w:tc>
          <w:tcPr>
            <w:tcW w:w="1080"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二级指标</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三级指标</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指标值</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实际</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完成值</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分值</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得分</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偏差原因分析及改进措施</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val="restart"/>
            <w:tcBorders>
              <w:top w:val="nil"/>
              <w:left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产出指标</w:t>
            </w:r>
          </w:p>
          <w:p w:rsidR="00DE449E" w:rsidRDefault="00DE449E" w:rsidP="00FF6B33">
            <w:pPr>
              <w:widowControl/>
              <w:spacing w:line="260" w:lineRule="exact"/>
              <w:jc w:val="center"/>
              <w:rPr>
                <w:rFonts w:ascii="仿宋_GB2312" w:eastAsia="仿宋_GB2312" w:hAnsi="仿宋_GB2312" w:cs="仿宋_GB2312"/>
                <w:color w:val="000000"/>
                <w:sz w:val="20"/>
                <w:szCs w:val="20"/>
              </w:rPr>
            </w:pP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(50分)</w:t>
            </w:r>
          </w:p>
        </w:tc>
        <w:tc>
          <w:tcPr>
            <w:tcW w:w="1080" w:type="dxa"/>
            <w:vMerge w:val="restart"/>
            <w:tcBorders>
              <w:top w:val="nil"/>
              <w:left w:val="nil"/>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数量指标</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办理分户证户数</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20000户</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11089户</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时间横跨18年，</w:t>
            </w:r>
            <w:r w:rsidRPr="00A000A3">
              <w:rPr>
                <w:rFonts w:ascii="仿宋_GB2312" w:eastAsia="仿宋_GB2312" w:hAnsi="仿宋_GB2312" w:cs="仿宋_GB2312" w:hint="eastAsia"/>
                <w:color w:val="000000"/>
                <w:sz w:val="20"/>
                <w:szCs w:val="20"/>
              </w:rPr>
              <w:t>专项行动缺乏强制力</w:t>
            </w:r>
            <w:r>
              <w:rPr>
                <w:rFonts w:ascii="仿宋_GB2312" w:eastAsia="仿宋_GB2312" w:hAnsi="仿宋_GB2312" w:cs="仿宋_GB2312" w:hint="eastAsia"/>
                <w:color w:val="000000"/>
                <w:sz w:val="20"/>
                <w:szCs w:val="20"/>
              </w:rPr>
              <w:t>,</w:t>
            </w:r>
            <w:r>
              <w:rPr>
                <w:rFonts w:ascii="楷体" w:eastAsia="楷体" w:hAnsi="楷体" w:cs="楷体" w:hint="eastAsia"/>
                <w:b/>
                <w:bCs/>
                <w:color w:val="000000"/>
                <w:sz w:val="32"/>
                <w:szCs w:val="32"/>
              </w:rPr>
              <w:t xml:space="preserve"> </w:t>
            </w:r>
            <w:r w:rsidRPr="00A000A3">
              <w:rPr>
                <w:rFonts w:ascii="仿宋_GB2312" w:eastAsia="仿宋_GB2312" w:hAnsi="仿宋_GB2312" w:cs="仿宋_GB2312" w:hint="eastAsia"/>
                <w:color w:val="000000"/>
                <w:sz w:val="20"/>
                <w:szCs w:val="20"/>
              </w:rPr>
              <w:t>购房人办证意愿不强。建议</w:t>
            </w:r>
            <w:r>
              <w:rPr>
                <w:rFonts w:ascii="仿宋_GB2312" w:eastAsia="仿宋_GB2312" w:hAnsi="仿宋_GB2312" w:cs="仿宋_GB2312" w:hint="eastAsia"/>
                <w:color w:val="000000"/>
                <w:sz w:val="20"/>
                <w:szCs w:val="20"/>
              </w:rPr>
              <w:t>建立</w:t>
            </w:r>
            <w:r w:rsidRPr="00A000A3">
              <w:rPr>
                <w:rFonts w:ascii="仿宋_GB2312" w:eastAsia="仿宋_GB2312" w:hAnsi="仿宋_GB2312" w:cs="仿宋_GB2312" w:hint="eastAsia"/>
                <w:color w:val="000000"/>
                <w:sz w:val="20"/>
                <w:szCs w:val="20"/>
              </w:rPr>
              <w:t>契税征收长效机制，</w:t>
            </w:r>
            <w:r w:rsidRPr="00A000A3">
              <w:rPr>
                <w:rFonts w:ascii="仿宋_GB2312" w:eastAsia="仿宋_GB2312" w:hAnsi="仿宋_GB2312" w:cs="仿宋_GB2312"/>
                <w:color w:val="000000"/>
                <w:sz w:val="20"/>
                <w:szCs w:val="20"/>
              </w:rPr>
              <w:t>处理好遗留问题</w:t>
            </w:r>
            <w:r w:rsidRPr="00A000A3">
              <w:rPr>
                <w:rFonts w:ascii="仿宋_GB2312" w:eastAsia="仿宋_GB2312" w:hAnsi="仿宋_GB2312" w:cs="仿宋_GB2312" w:hint="eastAsia"/>
                <w:color w:val="000000"/>
                <w:sz w:val="20"/>
                <w:szCs w:val="20"/>
              </w:rPr>
              <w:t>，</w:t>
            </w:r>
            <w:r w:rsidRPr="00A000A3">
              <w:rPr>
                <w:rFonts w:ascii="仿宋_GB2312" w:eastAsia="仿宋_GB2312" w:hAnsi="仿宋_GB2312" w:cs="仿宋_GB2312"/>
                <w:color w:val="000000"/>
                <w:sz w:val="20"/>
                <w:szCs w:val="20"/>
              </w:rPr>
              <w:t>积极推行交房即交证</w:t>
            </w:r>
            <w:r>
              <w:rPr>
                <w:rFonts w:ascii="仿宋_GB2312" w:eastAsia="仿宋_GB2312" w:hAnsi="仿宋_GB2312" w:cs="仿宋_GB2312" w:hint="eastAsia"/>
                <w:color w:val="000000"/>
                <w:sz w:val="20"/>
                <w:szCs w:val="20"/>
              </w:rPr>
              <w:t>。</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DE449E" w:rsidRDefault="00DE449E" w:rsidP="00FF6B33">
            <w:pPr>
              <w:spacing w:line="260" w:lineRule="exact"/>
              <w:jc w:val="center"/>
              <w:rPr>
                <w:rFonts w:ascii="仿宋_GB2312" w:eastAsia="仿宋_GB2312" w:hAnsi="仿宋_GB2312" w:cs="仿宋_GB2312"/>
                <w:color w:val="000000"/>
                <w:sz w:val="20"/>
                <w:szCs w:val="20"/>
              </w:rPr>
            </w:pP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专项经费按标准</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1000元/套</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已完成</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lang w:eastAsia="en-US"/>
              </w:rPr>
            </w:pP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摸清办证底数</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已完成</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lang w:eastAsia="en-US"/>
              </w:rPr>
            </w:pP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val="restart"/>
            <w:tcBorders>
              <w:top w:val="nil"/>
              <w:left w:val="nil"/>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质量指标</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办证效率</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已完成</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DE449E" w:rsidRDefault="00DE449E" w:rsidP="00FF6B33">
            <w:pPr>
              <w:spacing w:line="260" w:lineRule="exact"/>
              <w:jc w:val="center"/>
              <w:rPr>
                <w:rFonts w:ascii="仿宋_GB2312" w:eastAsia="仿宋_GB2312" w:hAnsi="仿宋_GB2312" w:cs="仿宋_GB2312"/>
                <w:color w:val="000000"/>
                <w:sz w:val="20"/>
                <w:szCs w:val="20"/>
              </w:rPr>
            </w:pP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资金分配合理性</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已完成</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left w:val="single" w:sz="4" w:space="0" w:color="auto"/>
              <w:bottom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资金使用合规性</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已完成</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时效指标</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按照计划时间完成</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2023年</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2023年</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成本指标</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项目成本控制在预算范围内</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已完成</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效益指标</w:t>
            </w:r>
          </w:p>
          <w:p w:rsidR="00DE449E" w:rsidRDefault="00DE449E" w:rsidP="00FF6B33">
            <w:pPr>
              <w:widowControl/>
              <w:spacing w:line="260" w:lineRule="exact"/>
              <w:jc w:val="left"/>
              <w:rPr>
                <w:rFonts w:ascii="仿宋_GB2312" w:eastAsia="仿宋_GB2312" w:hAnsi="仿宋_GB2312" w:cs="仿宋_GB2312"/>
                <w:color w:val="000000"/>
                <w:sz w:val="20"/>
                <w:szCs w:val="20"/>
              </w:rPr>
            </w:pPr>
          </w:p>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（30分）</w:t>
            </w:r>
          </w:p>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08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经济效</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益指标</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防范金融风险，创造良好经济环境</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降低金融风险</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有所降低</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社会效</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益指标</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加强宣传报道，引导购房人及时办理不动产权证、分户证</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有明显效果</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lang w:eastAsia="en-US"/>
              </w:rPr>
            </w:pPr>
            <w:r>
              <w:rPr>
                <w:rFonts w:ascii="仿宋_GB2312" w:eastAsia="仿宋_GB2312" w:hAnsi="仿宋_GB2312" w:cs="仿宋_GB2312" w:hint="eastAsia"/>
                <w:color w:val="000000"/>
                <w:sz w:val="20"/>
                <w:szCs w:val="20"/>
              </w:rPr>
              <w:t>有明显效果</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60" w:lineRule="exact"/>
              <w:jc w:val="center"/>
              <w:rPr>
                <w:rFonts w:ascii="仿宋_GB2312" w:eastAsia="仿宋_GB2312" w:hAnsi="仿宋_GB2312" w:cs="仿宋_GB2312"/>
                <w:color w:val="000000"/>
                <w:sz w:val="20"/>
                <w:szCs w:val="20"/>
              </w:rPr>
            </w:pP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lang w:eastAsia="en-US"/>
              </w:rPr>
            </w:pPr>
            <w:r>
              <w:rPr>
                <w:rFonts w:ascii="仿宋_GB2312" w:eastAsia="仿宋_GB2312" w:hAnsi="仿宋_GB2312" w:cs="仿宋_GB2312" w:hint="eastAsia"/>
                <w:color w:val="000000"/>
                <w:sz w:val="20"/>
                <w:szCs w:val="20"/>
              </w:rPr>
              <w:t>保障购房人权益</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有所保障</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lang w:eastAsia="en-US"/>
              </w:rPr>
            </w:pPr>
            <w:r>
              <w:rPr>
                <w:rFonts w:ascii="仿宋_GB2312" w:eastAsia="仿宋_GB2312" w:hAnsi="仿宋_GB2312" w:cs="仿宋_GB2312" w:hint="eastAsia"/>
                <w:color w:val="000000"/>
                <w:sz w:val="20"/>
                <w:szCs w:val="20"/>
              </w:rPr>
              <w:t>有所保障</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生态效</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益指标</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对环境造成的负面影响</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无负面影响</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无负面影响</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可持续影响指标</w:t>
            </w:r>
          </w:p>
        </w:tc>
        <w:tc>
          <w:tcPr>
            <w:tcW w:w="1224"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建立“交房即交证”的长效机制</w:t>
            </w:r>
          </w:p>
        </w:tc>
        <w:tc>
          <w:tcPr>
            <w:tcW w:w="1134"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建立新建商品房买卖合同网签备案信息实时共享和及时纳税的长效机制</w:t>
            </w:r>
          </w:p>
        </w:tc>
        <w:tc>
          <w:tcPr>
            <w:tcW w:w="1134"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适应工作需求，使得工作进入良性循环</w:t>
            </w:r>
          </w:p>
        </w:tc>
        <w:tc>
          <w:tcPr>
            <w:tcW w:w="828"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jc w:val="center"/>
        </w:trPr>
        <w:tc>
          <w:tcPr>
            <w:tcW w:w="1080" w:type="dxa"/>
            <w:vMerge/>
            <w:tcBorders>
              <w:left w:val="single" w:sz="4" w:space="0" w:color="auto"/>
              <w:right w:val="single" w:sz="4" w:space="0" w:color="auto"/>
            </w:tcBorders>
            <w:vAlign w:val="center"/>
          </w:tcPr>
          <w:p w:rsidR="00DE449E" w:rsidRDefault="00DE449E" w:rsidP="00FF6B33">
            <w:pPr>
              <w:spacing w:line="260" w:lineRule="exact"/>
              <w:jc w:val="left"/>
              <w:rPr>
                <w:rFonts w:ascii="仿宋_GB2312" w:eastAsia="仿宋_GB2312" w:hAnsi="仿宋_GB2312" w:cs="仿宋_GB2312"/>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满意度</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指标</w:t>
            </w:r>
          </w:p>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（10分）</w:t>
            </w:r>
          </w:p>
        </w:tc>
        <w:tc>
          <w:tcPr>
            <w:tcW w:w="1080" w:type="dxa"/>
            <w:tcBorders>
              <w:top w:val="single" w:sz="4" w:space="0" w:color="auto"/>
              <w:left w:val="single" w:sz="4" w:space="0" w:color="auto"/>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服务对象满意度指标</w:t>
            </w:r>
          </w:p>
        </w:tc>
        <w:tc>
          <w:tcPr>
            <w:tcW w:w="122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受益群众满意度</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≥9</w:t>
            </w:r>
            <w:r>
              <w:rPr>
                <w:rFonts w:ascii="仿宋_GB2312" w:eastAsia="仿宋_GB2312" w:hAnsi="仿宋_GB2312" w:cs="仿宋_GB2312"/>
                <w:color w:val="000000"/>
                <w:sz w:val="20"/>
                <w:szCs w:val="20"/>
              </w:rPr>
              <w:t>5</w:t>
            </w:r>
            <w:r>
              <w:rPr>
                <w:rFonts w:ascii="仿宋_GB2312" w:eastAsia="仿宋_GB2312" w:hAnsi="仿宋_GB2312" w:cs="仿宋_GB2312" w:hint="eastAsia"/>
                <w:color w:val="000000"/>
                <w:sz w:val="20"/>
                <w:szCs w:val="20"/>
              </w:rPr>
              <w:t>%</w:t>
            </w:r>
          </w:p>
        </w:tc>
        <w:tc>
          <w:tcPr>
            <w:tcW w:w="1134"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绝大部分人满意</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DE449E" w:rsidTr="00FF6B33">
        <w:trPr>
          <w:trHeight w:val="399"/>
          <w:jc w:val="center"/>
        </w:trPr>
        <w:tc>
          <w:tcPr>
            <w:tcW w:w="6732" w:type="dxa"/>
            <w:gridSpan w:val="6"/>
            <w:tcBorders>
              <w:top w:val="single" w:sz="4" w:space="0" w:color="auto"/>
              <w:left w:val="single" w:sz="4" w:space="0" w:color="auto"/>
              <w:bottom w:val="single" w:sz="4" w:space="0" w:color="auto"/>
              <w:right w:val="single" w:sz="4" w:space="0" w:color="000000"/>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总分</w:t>
            </w:r>
          </w:p>
        </w:tc>
        <w:tc>
          <w:tcPr>
            <w:tcW w:w="82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873"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95</w:t>
            </w:r>
          </w:p>
        </w:tc>
        <w:tc>
          <w:tcPr>
            <w:tcW w:w="1418" w:type="dxa"/>
            <w:tcBorders>
              <w:top w:val="nil"/>
              <w:left w:val="nil"/>
              <w:bottom w:val="single" w:sz="4" w:space="0" w:color="auto"/>
              <w:right w:val="single" w:sz="4" w:space="0" w:color="auto"/>
            </w:tcBorders>
            <w:vAlign w:val="center"/>
          </w:tcPr>
          <w:p w:rsidR="00DE449E" w:rsidRDefault="00DE449E" w:rsidP="00FF6B33">
            <w:pPr>
              <w:widowControl/>
              <w:spacing w:line="26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bl>
    <w:p w:rsidR="00DE449E" w:rsidRDefault="00DE449E" w:rsidP="00DE449E">
      <w:pPr>
        <w:rPr>
          <w:rFonts w:ascii="Times New Roman" w:eastAsia="仿宋_GB2312" w:hAnsi="Times New Roman"/>
          <w:sz w:val="18"/>
          <w:szCs w:val="18"/>
        </w:rPr>
      </w:pPr>
    </w:p>
    <w:p w:rsidR="00DE449E" w:rsidRPr="00DE449E" w:rsidRDefault="00DE449E" w:rsidP="00DE449E">
      <w:pPr>
        <w:rPr>
          <w:rFonts w:hint="eastAsia"/>
        </w:rPr>
      </w:pPr>
      <w:r>
        <w:rPr>
          <w:rFonts w:ascii="Times New Roman" w:eastAsia="仿宋_GB2312" w:hAnsi="Times New Roman"/>
          <w:sz w:val="22"/>
          <w:szCs w:val="22"/>
        </w:rPr>
        <w:t>填表人：</w:t>
      </w:r>
      <w:r>
        <w:rPr>
          <w:rFonts w:ascii="Times New Roman" w:eastAsia="仿宋_GB2312" w:hAnsi="Times New Roman"/>
          <w:sz w:val="22"/>
          <w:szCs w:val="22"/>
        </w:rPr>
        <w:t xml:space="preserve">       </w:t>
      </w:r>
      <w:r>
        <w:rPr>
          <w:rFonts w:ascii="Times New Roman" w:eastAsia="仿宋_GB2312" w:hAnsi="Times New Roman" w:hint="eastAsia"/>
          <w:sz w:val="22"/>
          <w:szCs w:val="22"/>
        </w:rPr>
        <w:t xml:space="preserve"> </w:t>
      </w:r>
      <w:r>
        <w:rPr>
          <w:rFonts w:ascii="Times New Roman" w:eastAsia="仿宋_GB2312" w:hAnsi="Times New Roman"/>
          <w:sz w:val="22"/>
          <w:szCs w:val="22"/>
        </w:rPr>
        <w:t>填报日期：</w:t>
      </w:r>
      <w:r>
        <w:rPr>
          <w:rFonts w:ascii="Times New Roman" w:eastAsia="仿宋_GB2312" w:hAnsi="Times New Roman"/>
          <w:sz w:val="22"/>
          <w:szCs w:val="22"/>
        </w:rPr>
        <w:t xml:space="preserve">     </w:t>
      </w:r>
      <w:r>
        <w:rPr>
          <w:rFonts w:ascii="Times New Roman" w:eastAsia="仿宋_GB2312" w:hAnsi="Times New Roman" w:hint="eastAsia"/>
          <w:sz w:val="22"/>
          <w:szCs w:val="22"/>
        </w:rPr>
        <w:t xml:space="preserve">      </w:t>
      </w:r>
      <w:r>
        <w:rPr>
          <w:rFonts w:ascii="Times New Roman" w:eastAsia="仿宋_GB2312" w:hAnsi="Times New Roman"/>
          <w:sz w:val="22"/>
          <w:szCs w:val="22"/>
        </w:rPr>
        <w:t>联系电话：</w:t>
      </w:r>
      <w:r>
        <w:rPr>
          <w:rFonts w:ascii="Times New Roman" w:eastAsia="仿宋_GB2312" w:hAnsi="Times New Roman"/>
          <w:sz w:val="22"/>
          <w:szCs w:val="22"/>
        </w:rPr>
        <w:t xml:space="preserve">   </w:t>
      </w:r>
      <w:r>
        <w:rPr>
          <w:rFonts w:ascii="Times New Roman" w:eastAsia="仿宋_GB2312" w:hAnsi="Times New Roman" w:hint="eastAsia"/>
          <w:sz w:val="22"/>
          <w:szCs w:val="22"/>
        </w:rPr>
        <w:t xml:space="preserve">         </w:t>
      </w:r>
      <w:r>
        <w:rPr>
          <w:rFonts w:ascii="Times New Roman" w:eastAsia="仿宋_GB2312" w:hAnsi="Times New Roman"/>
          <w:sz w:val="22"/>
          <w:szCs w:val="22"/>
        </w:rPr>
        <w:t xml:space="preserve"> </w:t>
      </w:r>
      <w:r>
        <w:rPr>
          <w:rFonts w:ascii="Times New Roman" w:eastAsia="仿宋_GB2312" w:hAnsi="Times New Roman"/>
          <w:sz w:val="22"/>
          <w:szCs w:val="22"/>
        </w:rPr>
        <w:t>单位负责人签字：</w:t>
      </w:r>
    </w:p>
    <w:sectPr w:rsidR="00DE449E" w:rsidRPr="00DE44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3F1" w:rsidRDefault="008753F1" w:rsidP="000D50BB">
      <w:r>
        <w:separator/>
      </w:r>
    </w:p>
  </w:endnote>
  <w:endnote w:type="continuationSeparator" w:id="0">
    <w:p w:rsidR="008753F1" w:rsidRDefault="008753F1" w:rsidP="000D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auto"/>
    <w:pitch w:val="variable"/>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3F1" w:rsidRDefault="008753F1" w:rsidP="000D50BB">
      <w:r>
        <w:separator/>
      </w:r>
    </w:p>
  </w:footnote>
  <w:footnote w:type="continuationSeparator" w:id="0">
    <w:p w:rsidR="008753F1" w:rsidRDefault="008753F1" w:rsidP="000D5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AE7DED4"/>
    <w:multiLevelType w:val="singleLevel"/>
    <w:tmpl w:val="EAE7DED4"/>
    <w:lvl w:ilvl="0">
      <w:start w:val="1"/>
      <w:numFmt w:val="decimal"/>
      <w:lvlText w:val="%1."/>
      <w:lvlJc w:val="left"/>
      <w:pPr>
        <w:tabs>
          <w:tab w:val="left" w:pos="312"/>
        </w:tabs>
      </w:pPr>
    </w:lvl>
  </w:abstractNum>
  <w:abstractNum w:abstractNumId="1" w15:restartNumberingAfterBreak="0">
    <w:nsid w:val="2F7818D6"/>
    <w:multiLevelType w:val="singleLevel"/>
    <w:tmpl w:val="2F7818D6"/>
    <w:lvl w:ilvl="0">
      <w:start w:val="1"/>
      <w:numFmt w:val="chineseCounting"/>
      <w:suff w:val="nothing"/>
      <w:lvlText w:val="%1、"/>
      <w:lvlJc w:val="left"/>
      <w:rPr>
        <w:rFonts w:hint="eastAsia"/>
      </w:rPr>
    </w:lvl>
  </w:abstractNum>
  <w:abstractNum w:abstractNumId="2" w15:restartNumberingAfterBreak="0">
    <w:nsid w:val="5DDF8822"/>
    <w:multiLevelType w:val="singleLevel"/>
    <w:tmpl w:val="5DDF8822"/>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172A27"/>
    <w:rsid w:val="DFEF884A"/>
    <w:rsid w:val="0004124B"/>
    <w:rsid w:val="00071187"/>
    <w:rsid w:val="000A1A3D"/>
    <w:rsid w:val="000D50BB"/>
    <w:rsid w:val="00155017"/>
    <w:rsid w:val="00172A27"/>
    <w:rsid w:val="001B6E2F"/>
    <w:rsid w:val="002236AB"/>
    <w:rsid w:val="0026321E"/>
    <w:rsid w:val="0034513A"/>
    <w:rsid w:val="00347F67"/>
    <w:rsid w:val="00464B48"/>
    <w:rsid w:val="004A4BF5"/>
    <w:rsid w:val="004E0668"/>
    <w:rsid w:val="005371DA"/>
    <w:rsid w:val="0058386D"/>
    <w:rsid w:val="00660687"/>
    <w:rsid w:val="00721CA6"/>
    <w:rsid w:val="00755D89"/>
    <w:rsid w:val="00874E8D"/>
    <w:rsid w:val="008753F1"/>
    <w:rsid w:val="008E1E87"/>
    <w:rsid w:val="00A000A3"/>
    <w:rsid w:val="00A208F9"/>
    <w:rsid w:val="00A454BF"/>
    <w:rsid w:val="00A81E5F"/>
    <w:rsid w:val="00B02895"/>
    <w:rsid w:val="00BE6FA7"/>
    <w:rsid w:val="00C432A3"/>
    <w:rsid w:val="00C817C7"/>
    <w:rsid w:val="00CD51CC"/>
    <w:rsid w:val="00D2277F"/>
    <w:rsid w:val="00D42585"/>
    <w:rsid w:val="00D470D6"/>
    <w:rsid w:val="00D62969"/>
    <w:rsid w:val="00D82E50"/>
    <w:rsid w:val="00DE449E"/>
    <w:rsid w:val="00E01A9F"/>
    <w:rsid w:val="00FA30BE"/>
    <w:rsid w:val="00FE7B94"/>
    <w:rsid w:val="017F6FD8"/>
    <w:rsid w:val="01C35DFF"/>
    <w:rsid w:val="02795619"/>
    <w:rsid w:val="02E209F4"/>
    <w:rsid w:val="0348159A"/>
    <w:rsid w:val="034B5C67"/>
    <w:rsid w:val="050C4184"/>
    <w:rsid w:val="06DA69AD"/>
    <w:rsid w:val="0717375D"/>
    <w:rsid w:val="07DB29DD"/>
    <w:rsid w:val="09453417"/>
    <w:rsid w:val="09B2776D"/>
    <w:rsid w:val="0CC7352F"/>
    <w:rsid w:val="0E547045"/>
    <w:rsid w:val="0F20786F"/>
    <w:rsid w:val="103B4960"/>
    <w:rsid w:val="10DC1574"/>
    <w:rsid w:val="10E32902"/>
    <w:rsid w:val="122E5E1C"/>
    <w:rsid w:val="12CA1FCB"/>
    <w:rsid w:val="133E02C4"/>
    <w:rsid w:val="175D5E07"/>
    <w:rsid w:val="1E5F71AF"/>
    <w:rsid w:val="1EE2069D"/>
    <w:rsid w:val="20020FF7"/>
    <w:rsid w:val="220A5F40"/>
    <w:rsid w:val="22114191"/>
    <w:rsid w:val="223A4F76"/>
    <w:rsid w:val="225576F5"/>
    <w:rsid w:val="22A00653"/>
    <w:rsid w:val="22C2681B"/>
    <w:rsid w:val="235A7FBB"/>
    <w:rsid w:val="2375388E"/>
    <w:rsid w:val="25052271"/>
    <w:rsid w:val="2A4E308A"/>
    <w:rsid w:val="2B732DA8"/>
    <w:rsid w:val="2D0F08AF"/>
    <w:rsid w:val="31BA4760"/>
    <w:rsid w:val="32E77BD8"/>
    <w:rsid w:val="34220392"/>
    <w:rsid w:val="346D371E"/>
    <w:rsid w:val="36863834"/>
    <w:rsid w:val="39697599"/>
    <w:rsid w:val="3A7F0307"/>
    <w:rsid w:val="3C956E7D"/>
    <w:rsid w:val="3D5139EC"/>
    <w:rsid w:val="3E0B50C2"/>
    <w:rsid w:val="3E3D0FF4"/>
    <w:rsid w:val="40154B29"/>
    <w:rsid w:val="407D65EC"/>
    <w:rsid w:val="413606A8"/>
    <w:rsid w:val="41986C6D"/>
    <w:rsid w:val="41C45CB4"/>
    <w:rsid w:val="43340C18"/>
    <w:rsid w:val="43664B49"/>
    <w:rsid w:val="43AF4742"/>
    <w:rsid w:val="45260A34"/>
    <w:rsid w:val="47797541"/>
    <w:rsid w:val="47B55C0C"/>
    <w:rsid w:val="482A4397"/>
    <w:rsid w:val="48335942"/>
    <w:rsid w:val="4A547DF1"/>
    <w:rsid w:val="4B6E4EE3"/>
    <w:rsid w:val="4D592737"/>
    <w:rsid w:val="4FCB2904"/>
    <w:rsid w:val="4FD32054"/>
    <w:rsid w:val="515D3A2F"/>
    <w:rsid w:val="51B3364F"/>
    <w:rsid w:val="52A772D3"/>
    <w:rsid w:val="55EC35D4"/>
    <w:rsid w:val="573E74AA"/>
    <w:rsid w:val="57AF39D3"/>
    <w:rsid w:val="57BD0D84"/>
    <w:rsid w:val="57E4759A"/>
    <w:rsid w:val="5882504E"/>
    <w:rsid w:val="58D72112"/>
    <w:rsid w:val="59007E6B"/>
    <w:rsid w:val="59886344"/>
    <w:rsid w:val="5A871B1D"/>
    <w:rsid w:val="5DD60DF1"/>
    <w:rsid w:val="5ED679F2"/>
    <w:rsid w:val="607C7302"/>
    <w:rsid w:val="615C33BC"/>
    <w:rsid w:val="61C96577"/>
    <w:rsid w:val="62D022B3"/>
    <w:rsid w:val="68AB7F40"/>
    <w:rsid w:val="68E24AEE"/>
    <w:rsid w:val="69431305"/>
    <w:rsid w:val="6B0A3E88"/>
    <w:rsid w:val="6BA131EF"/>
    <w:rsid w:val="6C755C79"/>
    <w:rsid w:val="6C951E77"/>
    <w:rsid w:val="6E11379E"/>
    <w:rsid w:val="6E597DC9"/>
    <w:rsid w:val="6EED3736"/>
    <w:rsid w:val="6FB767E8"/>
    <w:rsid w:val="71A46D2F"/>
    <w:rsid w:val="71FF6EA4"/>
    <w:rsid w:val="7303326F"/>
    <w:rsid w:val="73334198"/>
    <w:rsid w:val="73584A76"/>
    <w:rsid w:val="73590AB8"/>
    <w:rsid w:val="73BC418E"/>
    <w:rsid w:val="73CF2113"/>
    <w:rsid w:val="761E337E"/>
    <w:rsid w:val="76D90BB3"/>
    <w:rsid w:val="77E20193"/>
    <w:rsid w:val="7C131762"/>
    <w:rsid w:val="7D1F32AC"/>
    <w:rsid w:val="7E1A02DA"/>
    <w:rsid w:val="7E9A1E77"/>
    <w:rsid w:val="7EAF6DC9"/>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816F13-55CF-471F-BA8A-85A599FF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qFormat="1"/>
    <w:lsdException w:name="footer" w:unhideWhenUsed="1"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仿宋" w:hAnsi="仿宋"/>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eastAsia="仿宋" w:cs="仿宋"/>
      <w:sz w:val="31"/>
      <w:szCs w:val="31"/>
      <w:lang w:eastAsia="en-US"/>
    </w:rPr>
  </w:style>
  <w:style w:type="paragraph" w:styleId="a4">
    <w:name w:val="footer"/>
    <w:basedOn w:val="a"/>
    <w:link w:val="Char"/>
    <w:unhideWhenUsed/>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uiPriority w:val="99"/>
    <w:qFormat/>
    <w:pPr>
      <w:snapToGrid w:val="0"/>
      <w:jc w:val="left"/>
    </w:pPr>
    <w:rPr>
      <w:sz w:val="18"/>
      <w:szCs w:val="18"/>
    </w:rPr>
  </w:style>
  <w:style w:type="paragraph" w:customStyle="1" w:styleId="1">
    <w:name w:val="列出段落1"/>
    <w:basedOn w:val="a"/>
    <w:uiPriority w:val="34"/>
    <w:qFormat/>
    <w:pPr>
      <w:ind w:firstLineChars="200" w:firstLine="420"/>
    </w:pPr>
  </w:style>
  <w:style w:type="paragraph" w:styleId="a7">
    <w:name w:val="List Paragraph"/>
    <w:basedOn w:val="a"/>
    <w:uiPriority w:val="99"/>
    <w:qFormat/>
    <w:pPr>
      <w:ind w:firstLineChars="200" w:firstLine="420"/>
    </w:pPr>
    <w:rPr>
      <w:rFonts w:ascii="Calibri" w:hAnsi="Calibri"/>
      <w:szCs w:val="22"/>
    </w:rPr>
  </w:style>
  <w:style w:type="character" w:customStyle="1" w:styleId="Char0">
    <w:name w:val="页眉 Char"/>
    <w:basedOn w:val="a0"/>
    <w:link w:val="a5"/>
    <w:qFormat/>
    <w:rPr>
      <w:rFonts w:ascii="仿宋" w:hAnsi="仿宋"/>
      <w:sz w:val="18"/>
      <w:szCs w:val="18"/>
    </w:rPr>
  </w:style>
  <w:style w:type="character" w:customStyle="1" w:styleId="Char">
    <w:name w:val="页脚 Char"/>
    <w:basedOn w:val="a0"/>
    <w:link w:val="a4"/>
    <w:qFormat/>
    <w:rPr>
      <w:rFonts w:ascii="仿宋" w:hAnsi="仿宋"/>
      <w:sz w:val="18"/>
      <w:szCs w:val="18"/>
    </w:rPr>
  </w:style>
  <w:style w:type="paragraph" w:customStyle="1" w:styleId="TableText">
    <w:name w:val="Table Text"/>
    <w:basedOn w:val="a"/>
    <w:semiHidden/>
    <w:qFormat/>
    <w:rPr>
      <w:rFonts w:ascii="Arial" w:eastAsia="Arial" w:hAnsi="Arial" w:cs="Arial"/>
      <w:sz w:val="21"/>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styleId="a8">
    <w:name w:val="Balloon Text"/>
    <w:basedOn w:val="a"/>
    <w:link w:val="Char1"/>
    <w:rsid w:val="00BE6FA7"/>
    <w:rPr>
      <w:sz w:val="18"/>
      <w:szCs w:val="18"/>
    </w:rPr>
  </w:style>
  <w:style w:type="character" w:customStyle="1" w:styleId="Char1">
    <w:name w:val="批注框文本 Char"/>
    <w:basedOn w:val="a0"/>
    <w:link w:val="a8"/>
    <w:rsid w:val="00BE6FA7"/>
    <w:rPr>
      <w:rFonts w:ascii="仿宋" w:hAnsi="仿宋"/>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11</Pages>
  <Words>892</Words>
  <Characters>5090</Characters>
  <Application>Microsoft Office Word</Application>
  <DocSecurity>0</DocSecurity>
  <Lines>42</Lines>
  <Paragraphs>11</Paragraphs>
  <ScaleCrop>false</ScaleCrop>
  <Company>微软中国</Company>
  <LinksUpToDate>false</LinksUpToDate>
  <CharactersWithSpaces>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29</cp:revision>
  <cp:lastPrinted>2024-06-25T01:31:00Z</cp:lastPrinted>
  <dcterms:created xsi:type="dcterms:W3CDTF">2024-03-18T08:36:00Z</dcterms:created>
  <dcterms:modified xsi:type="dcterms:W3CDTF">2024-09-14T06:29:00Z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6182D3A10D564617983F46DEE354AEAF</vt:lpwstr>
  </property>
</Properties>
</file>