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8522" w:type="dxa"/>
        <w:tblInd w:w="0" w:type="dxa"/>
        <w:tblLayout w:type="fixed"/>
        <w:tblCellMar>
          <w:top w:w="0" w:type="dxa"/>
          <w:left w:w="108" w:type="dxa"/>
          <w:bottom w:w="0" w:type="dxa"/>
          <w:right w:w="108" w:type="dxa"/>
        </w:tblCellMar>
      </w:tblPr>
      <w:tblGrid>
        <w:gridCol w:w="8522"/>
      </w:tblGrid>
      <w:tr>
        <w:tblPrEx>
          <w:tblLayout w:type="fixed"/>
          <w:tblCellMar>
            <w:top w:w="0" w:type="dxa"/>
            <w:left w:w="108" w:type="dxa"/>
            <w:bottom w:w="0" w:type="dxa"/>
            <w:right w:w="108" w:type="dxa"/>
          </w:tblCellMar>
        </w:tblPrEx>
        <w:trPr>
          <w:trHeight w:val="1380" w:hRule="atLeast"/>
        </w:trPr>
        <w:tc>
          <w:tcPr>
            <w:tcW w:w="8522" w:type="dxa"/>
            <w:tcBorders>
              <w:top w:val="nil"/>
              <w:left w:val="nil"/>
              <w:bottom w:val="nil"/>
              <w:right w:val="nil"/>
            </w:tcBorders>
            <w:shd w:val="clear" w:color="auto" w:fill="auto"/>
            <w:vAlign w:val="center"/>
          </w:tcPr>
          <w:p>
            <w:pPr>
              <w:widowControl/>
              <w:jc w:val="both"/>
              <w:rPr>
                <w:rFonts w:hint="default" w:ascii="方正小标宋_GBK" w:hAnsi="宋体" w:eastAsia="方正小标宋_GBK" w:cs="宋体"/>
                <w:color w:val="000000"/>
                <w:kern w:val="0"/>
                <w:sz w:val="44"/>
                <w:szCs w:val="44"/>
                <w:lang w:val="en-US" w:eastAsia="zh-CN"/>
              </w:rPr>
            </w:pPr>
          </w:p>
        </w:tc>
      </w:tr>
      <w:tr>
        <w:tblPrEx>
          <w:tblLayout w:type="fixed"/>
          <w:tblCellMar>
            <w:top w:w="0" w:type="dxa"/>
            <w:left w:w="108" w:type="dxa"/>
            <w:bottom w:w="0" w:type="dxa"/>
            <w:right w:w="108" w:type="dxa"/>
          </w:tblCellMar>
        </w:tblPrEx>
        <w:trPr>
          <w:trHeight w:val="499" w:hRule="atLeast"/>
        </w:trPr>
        <w:tc>
          <w:tcPr>
            <w:tcW w:w="8522" w:type="dxa"/>
            <w:tcBorders>
              <w:top w:val="nil"/>
              <w:left w:val="nil"/>
              <w:bottom w:val="nil"/>
              <w:right w:val="nil"/>
            </w:tcBorders>
            <w:shd w:val="clear" w:color="auto" w:fill="auto"/>
            <w:vAlign w:val="center"/>
          </w:tcPr>
          <w:p>
            <w:pPr>
              <w:widowControl/>
              <w:jc w:val="center"/>
              <w:rPr>
                <w:rFonts w:hint="default" w:ascii="黑体" w:hAnsi="黑体" w:eastAsia="黑体" w:cs="宋体"/>
                <w:kern w:val="0"/>
                <w:sz w:val="36"/>
                <w:szCs w:val="36"/>
                <w:lang w:val="en-US" w:eastAsia="zh-CN"/>
              </w:rPr>
            </w:pPr>
            <w:r>
              <w:rPr>
                <w:rFonts w:hint="eastAsia" w:ascii="黑体" w:hAnsi="黑体" w:eastAsia="黑体" w:cs="宋体"/>
                <w:kern w:val="0"/>
                <w:sz w:val="36"/>
                <w:szCs w:val="36"/>
                <w:lang w:val="en-US" w:eastAsia="zh-CN"/>
              </w:rPr>
              <w:t>中国人民政治协商会议岳阳市委员会2022预算公开</w:t>
            </w:r>
          </w:p>
          <w:p>
            <w:pPr>
              <w:widowControl/>
              <w:jc w:val="center"/>
              <w:rPr>
                <w:rFonts w:ascii="黑体" w:hAnsi="黑体" w:eastAsia="黑体" w:cs="宋体"/>
                <w:kern w:val="0"/>
                <w:sz w:val="36"/>
                <w:szCs w:val="36"/>
              </w:rPr>
            </w:pPr>
            <w:r>
              <w:rPr>
                <w:rFonts w:hint="eastAsia" w:ascii="黑体" w:hAnsi="黑体" w:eastAsia="黑体" w:cs="宋体"/>
                <w:kern w:val="0"/>
                <w:sz w:val="36"/>
                <w:szCs w:val="36"/>
              </w:rPr>
              <w:t>目录</w:t>
            </w:r>
          </w:p>
        </w:tc>
      </w:tr>
      <w:tr>
        <w:tblPrEx>
          <w:tblLayout w:type="fixed"/>
          <w:tblCellMar>
            <w:top w:w="0" w:type="dxa"/>
            <w:left w:w="108" w:type="dxa"/>
            <w:bottom w:w="0" w:type="dxa"/>
            <w:right w:w="108" w:type="dxa"/>
          </w:tblCellMar>
        </w:tblPrEx>
        <w:trPr>
          <w:trHeight w:val="499"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第一部分  2022年部门预算说明</w:t>
            </w:r>
          </w:p>
        </w:tc>
      </w:tr>
      <w:tr>
        <w:tblPrEx>
          <w:tblLayout w:type="fixed"/>
          <w:tblCellMar>
            <w:top w:w="0" w:type="dxa"/>
            <w:left w:w="108" w:type="dxa"/>
            <w:bottom w:w="0" w:type="dxa"/>
            <w:right w:w="108" w:type="dxa"/>
          </w:tblCellMar>
        </w:tblPrEx>
        <w:trPr>
          <w:trHeight w:val="499"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第二部分  2022年部门预算公开表格</w:t>
            </w:r>
          </w:p>
        </w:tc>
      </w:tr>
      <w:tr>
        <w:tblPrEx>
          <w:tblLayout w:type="fixed"/>
          <w:tblCellMar>
            <w:top w:w="0" w:type="dxa"/>
            <w:left w:w="108" w:type="dxa"/>
            <w:bottom w:w="0" w:type="dxa"/>
            <w:right w:w="108" w:type="dxa"/>
          </w:tblCellMar>
        </w:tblPrEx>
        <w:trPr>
          <w:trHeight w:val="4519" w:hRule="atLeast"/>
        </w:trPr>
        <w:tc>
          <w:tcPr>
            <w:tcW w:w="8522" w:type="dxa"/>
            <w:vMerge w:val="restart"/>
            <w:tcBorders>
              <w:top w:val="nil"/>
              <w:left w:val="nil"/>
              <w:bottom w:val="nil"/>
              <w:right w:val="nil"/>
            </w:tcBorders>
            <w:shd w:val="clear" w:color="auto" w:fill="auto"/>
            <w:vAlign w:val="center"/>
          </w:tcPr>
          <w:p>
            <w:pPr>
              <w:widowControl/>
              <w:numPr>
                <w:ilvl w:val="0"/>
                <w:numId w:val="1"/>
              </w:numPr>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收支总表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2、收入总表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3、支出总表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4、支出预算分类汇总表（按政府预算经济分类）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5、支出预算分类汇总表（按部门预算经济分类）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6、财政拨款收支总表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7、一般公共预算支出表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8、一般公共预算基本支出表-人员经费（工资福利支出）（按政府预算经济分类）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9、一般公共预算基本支出表-人员经费（工资福利支出）（按部门预算经济分类）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10、一般公共预算基本支出表-人员经费（对个人和家庭的补助）（按政府预算经济分类）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11、一般公共预算基本支出表-人员经费（对个人和家庭的补助）（按部门预算经济分类）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12、一般公共预算基本支出表-</w:t>
            </w:r>
            <w:r>
              <w:rPr>
                <w:rFonts w:hint="eastAsia" w:ascii="仿宋_GB2312" w:hAnsi="宋体" w:eastAsia="仿宋_GB2312" w:cs="宋体"/>
                <w:color w:val="000000"/>
                <w:kern w:val="0"/>
                <w:sz w:val="28"/>
                <w:szCs w:val="28"/>
                <w:lang w:val="en-US" w:eastAsia="zh-CN"/>
              </w:rPr>
              <w:t>公用</w:t>
            </w:r>
            <w:r>
              <w:rPr>
                <w:rFonts w:hint="eastAsia" w:ascii="仿宋_GB2312" w:hAnsi="宋体" w:eastAsia="仿宋_GB2312" w:cs="宋体"/>
                <w:color w:val="000000"/>
                <w:kern w:val="0"/>
                <w:sz w:val="28"/>
                <w:szCs w:val="28"/>
              </w:rPr>
              <w:t>经费（商品和服务支出）（按政府预算经济分类）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13、一般公共预算基本支出表-</w:t>
            </w:r>
            <w:r>
              <w:rPr>
                <w:rFonts w:hint="eastAsia" w:ascii="仿宋_GB2312" w:hAnsi="宋体" w:eastAsia="仿宋_GB2312" w:cs="宋体"/>
                <w:color w:val="000000"/>
                <w:kern w:val="0"/>
                <w:sz w:val="28"/>
                <w:szCs w:val="28"/>
                <w:lang w:val="en-US" w:eastAsia="zh-CN"/>
              </w:rPr>
              <w:t>公用</w:t>
            </w:r>
            <w:r>
              <w:rPr>
                <w:rFonts w:hint="eastAsia" w:ascii="仿宋_GB2312" w:hAnsi="宋体" w:eastAsia="仿宋_GB2312" w:cs="宋体"/>
                <w:color w:val="000000"/>
                <w:kern w:val="0"/>
                <w:sz w:val="28"/>
                <w:szCs w:val="28"/>
              </w:rPr>
              <w:t>经费（商品和服务支出）（按部门预算经济分类）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14、一般公共预算“三公”经费支出表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15、政府性基金预算支出表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16、政府性基金预算支出分类汇总表（按政府预算经济分类）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17、政府性基金预算支出分类汇总表（按部门预算经济分类）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18、国有资本经营预算支出表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19、财政专户管理资金预算支出表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20、专项资金预算汇总表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21、项目支出绩效目标表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22、整体支出绩效目标表</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jc w:val="both"/>
              <w:textAlignment w:val="center"/>
              <w:rPr>
                <w:rFonts w:hint="eastAsia" w:ascii="微软雅黑" w:hAnsi="微软雅黑" w:eastAsia="微软雅黑" w:cs="微软雅黑"/>
                <w:i w:val="0"/>
                <w:iCs w:val="0"/>
                <w:caps w:val="0"/>
                <w:color w:val="333333"/>
                <w:spacing w:val="0"/>
                <w:sz w:val="28"/>
                <w:szCs w:val="28"/>
                <w:lang w:val="en-US" w:eastAsia="zh-CN"/>
              </w:rPr>
            </w:pPr>
            <w:r>
              <w:rPr>
                <w:rFonts w:hint="eastAsia" w:ascii="微软雅黑" w:hAnsi="微软雅黑" w:eastAsia="微软雅黑" w:cs="微软雅黑"/>
                <w:i w:val="0"/>
                <w:iCs w:val="0"/>
                <w:caps w:val="0"/>
                <w:color w:val="333333"/>
                <w:spacing w:val="0"/>
                <w:sz w:val="28"/>
                <w:szCs w:val="28"/>
                <w:lang w:val="en-US" w:eastAsia="zh-CN"/>
              </w:rPr>
              <w:t>23、一般公共预算基本支出表</w:t>
            </w:r>
          </w:p>
          <w:p>
            <w:pPr>
              <w:widowControl/>
              <w:numPr>
                <w:ilvl w:val="0"/>
                <w:numId w:val="0"/>
              </w:numPr>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注：以上单位预算公开报表中，空表表示本单位无相关收支情况。</w:t>
            </w:r>
          </w:p>
        </w:tc>
      </w:tr>
      <w:tr>
        <w:tblPrEx>
          <w:tblLayout w:type="fixed"/>
          <w:tblCellMar>
            <w:top w:w="0" w:type="dxa"/>
            <w:left w:w="108" w:type="dxa"/>
            <w:bottom w:w="0" w:type="dxa"/>
            <w:right w:w="108" w:type="dxa"/>
          </w:tblCellMar>
        </w:tblPrEx>
        <w:trPr>
          <w:trHeight w:val="4519" w:hRule="atLeast"/>
        </w:trPr>
        <w:tc>
          <w:tcPr>
            <w:tcW w:w="8522" w:type="dxa"/>
            <w:vMerge w:val="continue"/>
            <w:tcBorders>
              <w:top w:val="nil"/>
              <w:left w:val="nil"/>
              <w:bottom w:val="nil"/>
              <w:right w:val="nil"/>
            </w:tcBorders>
            <w:vAlign w:val="center"/>
          </w:tcPr>
          <w:p>
            <w:pPr>
              <w:widowControl/>
              <w:jc w:val="left"/>
              <w:rPr>
                <w:rFonts w:ascii="仿宋_GB2312" w:hAnsi="宋体" w:eastAsia="仿宋_GB2312" w:cs="宋体"/>
                <w:color w:val="000000"/>
                <w:kern w:val="0"/>
                <w:sz w:val="28"/>
                <w:szCs w:val="28"/>
              </w:rPr>
            </w:pPr>
          </w:p>
        </w:tc>
      </w:tr>
      <w:tr>
        <w:tblPrEx>
          <w:tblLayout w:type="fixed"/>
          <w:tblCellMar>
            <w:top w:w="0" w:type="dxa"/>
            <w:left w:w="108" w:type="dxa"/>
            <w:bottom w:w="0" w:type="dxa"/>
            <w:right w:w="108" w:type="dxa"/>
          </w:tblCellMar>
        </w:tblPrEx>
        <w:trPr>
          <w:trHeight w:val="840" w:hRule="atLeast"/>
        </w:trPr>
        <w:tc>
          <w:tcPr>
            <w:tcW w:w="8522" w:type="dxa"/>
            <w:tcBorders>
              <w:top w:val="nil"/>
              <w:left w:val="nil"/>
              <w:bottom w:val="nil"/>
              <w:right w:val="nil"/>
            </w:tcBorders>
            <w:shd w:val="clear" w:color="auto" w:fill="auto"/>
            <w:vAlign w:val="center"/>
          </w:tcPr>
          <w:p>
            <w:pPr>
              <w:widowControl/>
              <w:jc w:val="center"/>
              <w:rPr>
                <w:rFonts w:ascii="黑体" w:hAnsi="黑体" w:eastAsia="黑体" w:cs="宋体"/>
                <w:color w:val="000000"/>
                <w:kern w:val="0"/>
                <w:sz w:val="36"/>
                <w:szCs w:val="36"/>
              </w:rPr>
            </w:pPr>
            <w:r>
              <w:rPr>
                <w:rFonts w:hint="eastAsia" w:ascii="黑体" w:hAnsi="黑体" w:eastAsia="黑体" w:cs="宋体"/>
                <w:color w:val="000000"/>
                <w:kern w:val="0"/>
                <w:sz w:val="36"/>
                <w:szCs w:val="36"/>
              </w:rPr>
              <w:t>第一部分  2022年部门预算说明</w:t>
            </w:r>
          </w:p>
        </w:tc>
      </w:tr>
      <w:tr>
        <w:tblPrEx>
          <w:tblLayout w:type="fixed"/>
          <w:tblCellMar>
            <w:top w:w="0" w:type="dxa"/>
            <w:left w:w="108" w:type="dxa"/>
            <w:bottom w:w="0" w:type="dxa"/>
            <w:right w:w="108" w:type="dxa"/>
          </w:tblCellMar>
        </w:tblPrEx>
        <w:trPr>
          <w:trHeight w:val="3375" w:hRule="atLeast"/>
        </w:trPr>
        <w:tc>
          <w:tcPr>
            <w:tcW w:w="8522" w:type="dxa"/>
            <w:tcBorders>
              <w:top w:val="nil"/>
              <w:left w:val="nil"/>
              <w:bottom w:val="nil"/>
              <w:right w:val="nil"/>
            </w:tcBorders>
            <w:shd w:val="clear" w:color="auto" w:fill="auto"/>
            <w:vAlign w:val="center"/>
          </w:tcPr>
          <w:p>
            <w:pPr>
              <w:widowControl/>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一、单位基本概况</w:t>
            </w:r>
          </w:p>
          <w:p>
            <w:pPr>
              <w:widowControl/>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（一）职能职责</w:t>
            </w:r>
          </w:p>
          <w:p>
            <w:pPr>
              <w:widowControl/>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1.负责组织实施政协章程规定的任务和全国政协、湖南省政协所作的决议，履行政治协商、民主监督和参政议政的职能。</w:t>
            </w:r>
          </w:p>
          <w:p>
            <w:pPr>
              <w:widowControl/>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2.负责市政协全体委员会议、常务委员会议、主席会议、专题议政性常委会议的会务工作。组织实施市政协全体委员会议、常务委员会议、主席会议的决议、决定。</w:t>
            </w:r>
          </w:p>
          <w:p>
            <w:pPr>
              <w:widowControl/>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3.负责会同市委办、市政府办制订年度调研协商监督计划。</w:t>
            </w:r>
          </w:p>
          <w:p>
            <w:pPr>
              <w:widowControl/>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4.整理、报送政协组织和委员履行职能形成的调研报告、视察报告、大会发言、建议案；收集反映社情民意，处理政协委员和人民群众的来信来访。</w:t>
            </w:r>
          </w:p>
          <w:p>
            <w:pPr>
              <w:widowControl/>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5.研究统一战线和人民政协的理论、政策，提出人民政协履行职能的工作建议，总结地方政协的工作经验；协调和组织市政协的对内对外宣传工作。</w:t>
            </w:r>
          </w:p>
          <w:p>
            <w:pPr>
              <w:widowControl/>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 xml:space="preserve"> </w:t>
            </w:r>
            <w:r>
              <w:rPr>
                <w:rFonts w:hint="eastAsia" w:ascii="仿宋_GB2312" w:hAnsi="宋体" w:eastAsia="仿宋_GB2312" w:cs="宋体"/>
                <w:kern w:val="0"/>
                <w:sz w:val="28"/>
                <w:szCs w:val="28"/>
                <w:lang w:val="en-US" w:eastAsia="zh-CN"/>
              </w:rPr>
              <w:t xml:space="preserve">  </w:t>
            </w:r>
            <w:r>
              <w:rPr>
                <w:rFonts w:hint="eastAsia" w:ascii="仿宋_GB2312" w:hAnsi="宋体" w:eastAsia="仿宋_GB2312" w:cs="宋体"/>
                <w:kern w:val="0"/>
                <w:sz w:val="28"/>
                <w:szCs w:val="28"/>
              </w:rPr>
              <w:t>6.负责委员视察、调查、评议、参观、学习、座谈、研讨等活动的具体组织和服务工作。</w:t>
            </w:r>
          </w:p>
          <w:p>
            <w:pPr>
              <w:widowControl/>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 xml:space="preserve"> </w:t>
            </w:r>
            <w:r>
              <w:rPr>
                <w:rFonts w:hint="eastAsia" w:ascii="仿宋_GB2312" w:hAnsi="宋体" w:eastAsia="仿宋_GB2312" w:cs="宋体"/>
                <w:kern w:val="0"/>
                <w:sz w:val="28"/>
                <w:szCs w:val="28"/>
                <w:lang w:val="en-US" w:eastAsia="zh-CN"/>
              </w:rPr>
              <w:t xml:space="preserve">  </w:t>
            </w:r>
            <w:r>
              <w:rPr>
                <w:rFonts w:hint="eastAsia" w:ascii="仿宋_GB2312" w:hAnsi="宋体" w:eastAsia="仿宋_GB2312" w:cs="宋体"/>
                <w:kern w:val="0"/>
                <w:sz w:val="28"/>
                <w:szCs w:val="28"/>
              </w:rPr>
              <w:t>7.密切与市委、市政府有关部门和县(市、区)政协的工作联系；负责联络各民主党派市委、市工商联、市知联会。</w:t>
            </w:r>
          </w:p>
          <w:p>
            <w:pPr>
              <w:widowControl/>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 xml:space="preserve"> </w:t>
            </w:r>
            <w:r>
              <w:rPr>
                <w:rFonts w:hint="eastAsia" w:ascii="仿宋_GB2312" w:hAnsi="宋体" w:eastAsia="仿宋_GB2312" w:cs="宋体"/>
                <w:kern w:val="0"/>
                <w:sz w:val="28"/>
                <w:szCs w:val="28"/>
                <w:lang w:val="en-US" w:eastAsia="zh-CN"/>
              </w:rPr>
              <w:t xml:space="preserve">  </w:t>
            </w:r>
            <w:r>
              <w:rPr>
                <w:rFonts w:hint="eastAsia" w:ascii="仿宋_GB2312" w:hAnsi="宋体" w:eastAsia="仿宋_GB2312" w:cs="宋体"/>
                <w:kern w:val="0"/>
                <w:sz w:val="28"/>
                <w:szCs w:val="28"/>
              </w:rPr>
              <w:t>8.负责市政协机关的机构编制、人事管理和机关事务管理工作。</w:t>
            </w:r>
          </w:p>
          <w:p>
            <w:pPr>
              <w:widowControl/>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 xml:space="preserve"> </w:t>
            </w:r>
            <w:r>
              <w:rPr>
                <w:rFonts w:hint="eastAsia" w:ascii="仿宋_GB2312" w:hAnsi="宋体" w:eastAsia="仿宋_GB2312" w:cs="宋体"/>
                <w:kern w:val="0"/>
                <w:sz w:val="28"/>
                <w:szCs w:val="28"/>
                <w:lang w:val="en-US" w:eastAsia="zh-CN"/>
              </w:rPr>
              <w:t xml:space="preserve">  </w:t>
            </w:r>
            <w:r>
              <w:rPr>
                <w:rFonts w:hint="eastAsia" w:ascii="仿宋_GB2312" w:hAnsi="宋体" w:eastAsia="仿宋_GB2312" w:cs="宋体"/>
                <w:kern w:val="0"/>
                <w:sz w:val="28"/>
                <w:szCs w:val="28"/>
              </w:rPr>
              <w:t>9.承办市政协全体委员会议、常务委员会议、主席会议交办的其它事项。</w:t>
            </w:r>
          </w:p>
          <w:p>
            <w:pPr>
              <w:widowControl/>
              <w:ind w:firstLine="560" w:firstLineChars="200"/>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（二）机构设置</w:t>
            </w:r>
          </w:p>
          <w:p>
            <w:pPr>
              <w:widowControl/>
              <w:ind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根据编委核定，我机关由办公室、提案委员会、经济科技和外事委员会、委员学习联络委员会、社会法制和民族宗教委员会、人口资源环境委员会、文化教育卫生体育和文史委员会、农业和农村委员会、研究室9个正处级单位以及市纪委派驻市政协纪检组组成。办公室内设6个职能科室，分别为办公室秘书科、财务科、政工科、法制信访科、课题预研科、宣传信息科。研究室内设综合科，其他7个专门工作委员会各分别内设综合科。机关党委、机关纪委、机关工会、离退休人员管理服务科按有关章程和规定设置。机关下设办公室网络信息中心、机关事务中心为全额拨款事业单位。</w:t>
            </w:r>
          </w:p>
        </w:tc>
      </w:tr>
      <w:tr>
        <w:tblPrEx>
          <w:tblLayout w:type="fixed"/>
          <w:tblCellMar>
            <w:top w:w="0" w:type="dxa"/>
            <w:left w:w="108" w:type="dxa"/>
            <w:bottom w:w="0" w:type="dxa"/>
            <w:right w:w="108" w:type="dxa"/>
          </w:tblCellMar>
        </w:tblPrEx>
        <w:trPr>
          <w:trHeight w:val="499" w:hRule="atLeast"/>
        </w:trPr>
        <w:tc>
          <w:tcPr>
            <w:tcW w:w="8522" w:type="dxa"/>
            <w:tcBorders>
              <w:top w:val="nil"/>
              <w:left w:val="nil"/>
              <w:bottom w:val="nil"/>
              <w:right w:val="nil"/>
            </w:tcBorders>
            <w:shd w:val="clear" w:color="auto" w:fill="auto"/>
            <w:vAlign w:val="center"/>
          </w:tcPr>
          <w:p>
            <w:pPr>
              <w:widowControl/>
              <w:ind w:firstLine="560" w:firstLineChars="200"/>
              <w:rPr>
                <w:rFonts w:hint="eastAsia" w:ascii="仿宋_GB2312" w:hAnsi="宋体" w:eastAsia="仿宋_GB2312" w:cs="宋体"/>
                <w:color w:val="FF0000"/>
                <w:kern w:val="0"/>
                <w:sz w:val="28"/>
                <w:szCs w:val="28"/>
              </w:rPr>
            </w:pPr>
            <w:r>
              <w:rPr>
                <w:rFonts w:hint="eastAsia" w:ascii="仿宋_GB2312" w:hAnsi="宋体" w:eastAsia="仿宋_GB2312" w:cs="宋体"/>
                <w:color w:val="auto"/>
                <w:kern w:val="0"/>
                <w:sz w:val="28"/>
                <w:szCs w:val="28"/>
              </w:rPr>
              <w:t>二、部门预算单位构成</w:t>
            </w:r>
            <w:r>
              <w:rPr>
                <w:rFonts w:hint="eastAsia" w:ascii="仿宋_GB2312" w:hAnsi="宋体" w:eastAsia="仿宋_GB2312" w:cs="宋体"/>
                <w:color w:val="FF0000"/>
                <w:kern w:val="0"/>
                <w:sz w:val="28"/>
                <w:szCs w:val="28"/>
              </w:rPr>
              <w:br w:type="textWrapping"/>
            </w:r>
            <w:r>
              <w:rPr>
                <w:rFonts w:hint="eastAsia" w:ascii="仿宋_GB2312" w:hAnsi="宋体" w:eastAsia="仿宋_GB2312" w:cs="宋体"/>
                <w:color w:val="FF0000"/>
                <w:kern w:val="0"/>
                <w:sz w:val="28"/>
                <w:szCs w:val="28"/>
              </w:rPr>
              <w:t xml:space="preserve">   </w:t>
            </w:r>
            <w:r>
              <w:rPr>
                <w:rFonts w:hint="eastAsia" w:ascii="仿宋_GB2312" w:hAnsi="宋体" w:eastAsia="仿宋_GB2312" w:cs="宋体"/>
                <w:kern w:val="0"/>
                <w:sz w:val="28"/>
                <w:szCs w:val="28"/>
              </w:rPr>
              <w:t>我单位无二级预算单位，因此，纳入2022年部门预算编制范围的为中国人民政治协商会议岳阳市委员会本级。</w:t>
            </w:r>
          </w:p>
          <w:p>
            <w:pPr>
              <w:widowControl/>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三、部门收支总体情况</w:t>
            </w:r>
          </w:p>
        </w:tc>
      </w:tr>
      <w:tr>
        <w:tblPrEx>
          <w:tblLayout w:type="fixed"/>
          <w:tblCellMar>
            <w:top w:w="0" w:type="dxa"/>
            <w:left w:w="108" w:type="dxa"/>
            <w:bottom w:w="0" w:type="dxa"/>
            <w:right w:w="108" w:type="dxa"/>
          </w:tblCellMar>
        </w:tblPrEx>
        <w:trPr>
          <w:trHeight w:val="499" w:hRule="atLeast"/>
        </w:trPr>
        <w:tc>
          <w:tcPr>
            <w:tcW w:w="8522" w:type="dxa"/>
            <w:tcBorders>
              <w:top w:val="nil"/>
              <w:left w:val="nil"/>
              <w:bottom w:val="nil"/>
              <w:right w:val="nil"/>
            </w:tcBorders>
            <w:shd w:val="clear" w:color="auto" w:fill="auto"/>
            <w:vAlign w:val="center"/>
          </w:tcPr>
          <w:p>
            <w:pPr>
              <w:widowControl/>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（一）收入预算</w:t>
            </w:r>
          </w:p>
        </w:tc>
      </w:tr>
      <w:tr>
        <w:tblPrEx>
          <w:tblLayout w:type="fixed"/>
          <w:tblCellMar>
            <w:top w:w="0" w:type="dxa"/>
            <w:left w:w="108" w:type="dxa"/>
            <w:bottom w:w="0" w:type="dxa"/>
            <w:right w:w="108" w:type="dxa"/>
          </w:tblCellMar>
        </w:tblPrEx>
        <w:trPr>
          <w:trHeight w:val="1875"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    包括一般公共预算、政府性基金、国有资本经营预算等财政拨款收入，以及经营收入、事业收入等单位资金。2022年本部门收入预算1956.76万元，其中，一般公共预算拨款1956.76万元，政府性基金预算拨款0万元，所以公开的附件15-17（政府性基金预算）为空,国有资本经营预算拨款0万元，所以公开的附表18（国有资本经营预算）为空,财政专户管理资金0万元，所以公开的附表19表（财政专户管理资金预算）为空，上级补助收入0万元，事业单位经营收入0万元，上年结转结余0万元。</w:t>
            </w:r>
          </w:p>
        </w:tc>
      </w:tr>
      <w:tr>
        <w:tblPrEx>
          <w:tblLayout w:type="fixed"/>
          <w:tblCellMar>
            <w:top w:w="0" w:type="dxa"/>
            <w:left w:w="108" w:type="dxa"/>
            <w:bottom w:w="0" w:type="dxa"/>
            <w:right w:w="108" w:type="dxa"/>
          </w:tblCellMar>
        </w:tblPrEx>
        <w:trPr>
          <w:trHeight w:val="619"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收入较去年增加425.81万元，主要是因为一是增加了运转类项目绩效平安奖及物业服务补贴，二是正常的人员调入调出净增拨款预算。</w:t>
            </w:r>
          </w:p>
        </w:tc>
      </w:tr>
      <w:tr>
        <w:tblPrEx>
          <w:tblLayout w:type="fixed"/>
          <w:tblCellMar>
            <w:top w:w="0" w:type="dxa"/>
            <w:left w:w="108" w:type="dxa"/>
            <w:bottom w:w="0" w:type="dxa"/>
            <w:right w:w="108" w:type="dxa"/>
          </w:tblCellMar>
        </w:tblPrEx>
        <w:trPr>
          <w:trHeight w:val="402" w:hRule="atLeast"/>
        </w:trPr>
        <w:tc>
          <w:tcPr>
            <w:tcW w:w="8522" w:type="dxa"/>
            <w:tcBorders>
              <w:top w:val="nil"/>
              <w:left w:val="nil"/>
              <w:bottom w:val="nil"/>
              <w:right w:val="nil"/>
            </w:tcBorders>
            <w:shd w:val="clear" w:color="auto" w:fill="auto"/>
            <w:vAlign w:val="center"/>
          </w:tcPr>
          <w:p>
            <w:pPr>
              <w:widowControl/>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（二）支出预算</w:t>
            </w:r>
          </w:p>
        </w:tc>
      </w:tr>
      <w:tr>
        <w:tblPrEx>
          <w:tblLayout w:type="fixed"/>
          <w:tblCellMar>
            <w:top w:w="0" w:type="dxa"/>
            <w:left w:w="108" w:type="dxa"/>
            <w:bottom w:w="0" w:type="dxa"/>
            <w:right w:w="108" w:type="dxa"/>
          </w:tblCellMar>
        </w:tblPrEx>
        <w:trPr>
          <w:trHeight w:val="1320" w:hRule="atLeast"/>
        </w:trPr>
        <w:tc>
          <w:tcPr>
            <w:tcW w:w="8522" w:type="dxa"/>
            <w:tcBorders>
              <w:top w:val="nil"/>
              <w:left w:val="nil"/>
              <w:bottom w:val="nil"/>
              <w:right w:val="nil"/>
            </w:tcBorders>
            <w:shd w:val="clear" w:color="auto" w:fill="auto"/>
            <w:vAlign w:val="center"/>
          </w:tcPr>
          <w:p>
            <w:pPr>
              <w:widowControl/>
              <w:jc w:val="left"/>
              <w:rPr>
                <w:rFonts w:hint="eastAsia" w:ascii="仿宋_GB2312" w:hAnsi="宋体" w:eastAsia="仿宋_GB2312" w:cs="宋体"/>
                <w:kern w:val="0"/>
                <w:sz w:val="28"/>
                <w:szCs w:val="28"/>
                <w:lang w:val="en-US" w:eastAsia="zh-CN"/>
              </w:rPr>
            </w:pPr>
            <w:r>
              <w:rPr>
                <w:rFonts w:hint="eastAsia" w:ascii="仿宋_GB2312" w:hAnsi="宋体" w:eastAsia="仿宋_GB2312" w:cs="宋体"/>
                <w:kern w:val="0"/>
                <w:sz w:val="28"/>
                <w:szCs w:val="28"/>
              </w:rPr>
              <w:t xml:space="preserve">    2022年本部门支出预算1956.76万元，其中，一般公共服务支出1734.07万元，占比88.62%，社会保障和就业支出91.32万元，占比4.67%，卫生健康支出62.88万元，占比3.21%，住房保障支出68.49万元，占比3.50%。支出较去年增加413.1万元，其中基本支出增加149.71万元，项目支出增加276.1万元。其中基本支出较上年增加主要是因为一是正常的人员调入调出净增拨款预算，二是公务交通补贴今年全额拨款，上年是拨款50%，项目支出增加主要是因为增加了运转类项目绩效平安奖及物业服务补贴。</w:t>
            </w:r>
            <w:r>
              <w:rPr>
                <w:rFonts w:hint="eastAsia" w:ascii="仿宋_GB2312" w:hAnsi="宋体" w:eastAsia="仿宋_GB2312" w:cs="宋体"/>
                <w:kern w:val="0"/>
                <w:sz w:val="28"/>
                <w:szCs w:val="28"/>
                <w:lang w:val="en-US" w:eastAsia="zh-CN"/>
              </w:rPr>
              <w:t xml:space="preserve"> 2022年预算公开文档第三大点（对应表3）、第四大点（对应表7）中的金额和百分比，由于预算编制时金额明细到了“分”，而公开表格显示和公开文档取数只到“百元”，可能导致0.01的尾数差异。</w:t>
            </w:r>
          </w:p>
          <w:p>
            <w:pPr>
              <w:widowControl/>
              <w:jc w:val="left"/>
              <w:rPr>
                <w:rFonts w:ascii="仿宋_GB2312" w:hAnsi="宋体" w:eastAsia="仿宋_GB2312" w:cs="宋体"/>
                <w:kern w:val="0"/>
                <w:sz w:val="28"/>
                <w:szCs w:val="28"/>
              </w:rPr>
            </w:pPr>
          </w:p>
        </w:tc>
      </w:tr>
      <w:tr>
        <w:tblPrEx>
          <w:tblLayout w:type="fixed"/>
          <w:tblCellMar>
            <w:top w:w="0" w:type="dxa"/>
            <w:left w:w="108" w:type="dxa"/>
            <w:bottom w:w="0" w:type="dxa"/>
            <w:right w:w="108" w:type="dxa"/>
          </w:tblCellMar>
        </w:tblPrEx>
        <w:trPr>
          <w:trHeight w:val="499" w:hRule="atLeast"/>
        </w:trPr>
        <w:tc>
          <w:tcPr>
            <w:tcW w:w="8522" w:type="dxa"/>
            <w:tcBorders>
              <w:top w:val="nil"/>
              <w:left w:val="nil"/>
              <w:bottom w:val="nil"/>
              <w:right w:val="nil"/>
            </w:tcBorders>
            <w:shd w:val="clear" w:color="auto" w:fill="auto"/>
            <w:vAlign w:val="center"/>
          </w:tcPr>
          <w:p>
            <w:pPr>
              <w:widowControl/>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四、一般公共预算拨款支出预算</w:t>
            </w:r>
          </w:p>
        </w:tc>
      </w:tr>
      <w:tr>
        <w:tblPrEx>
          <w:tblLayout w:type="fixed"/>
          <w:tblCellMar>
            <w:top w:w="0" w:type="dxa"/>
            <w:left w:w="108" w:type="dxa"/>
            <w:bottom w:w="0" w:type="dxa"/>
            <w:right w:w="108" w:type="dxa"/>
          </w:tblCellMar>
        </w:tblPrEx>
        <w:trPr>
          <w:trHeight w:val="1125"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    2022年本部门一般公共预算拨款支出预算1956.76万元，其中，一般公共服务支出1734.07万元，占比88.62%，社会保障和就业支出91.32万元，占比4.67%，卫生健康支出62.88万元，占比3.21%，住房保障支出68.49万元，占比3.50%。具体安排情况如下：</w:t>
            </w:r>
          </w:p>
        </w:tc>
      </w:tr>
      <w:tr>
        <w:tblPrEx>
          <w:tblLayout w:type="fixed"/>
          <w:tblCellMar>
            <w:top w:w="0" w:type="dxa"/>
            <w:left w:w="108" w:type="dxa"/>
            <w:bottom w:w="0" w:type="dxa"/>
            <w:right w:w="108" w:type="dxa"/>
          </w:tblCellMar>
        </w:tblPrEx>
        <w:trPr>
          <w:trHeight w:val="1125"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    （一）基本支出：2022年基本支出年初预算数为1069.73万元（数据来源见表7），是指为保障单位机构正常运转、完成日常工作任务而发生的各项支出，包括用于基本工资、津贴补贴等人员经费以及办公费、印刷费、水电费、差旅费等日常公用经费。</w:t>
            </w:r>
          </w:p>
        </w:tc>
      </w:tr>
      <w:tr>
        <w:tblPrEx>
          <w:tblLayout w:type="fixed"/>
          <w:tblCellMar>
            <w:top w:w="0" w:type="dxa"/>
            <w:left w:w="108" w:type="dxa"/>
            <w:bottom w:w="0" w:type="dxa"/>
            <w:right w:w="108" w:type="dxa"/>
          </w:tblCellMar>
        </w:tblPrEx>
        <w:trPr>
          <w:trHeight w:val="3375"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二）项目支出：2022年项目支出年初预算数为887.03万元，是指单位为完成特定行政工作任务或事业发展目标而发生的支出，包括有关业务工作经费、运行维护经费、其他事业类发展资金、其他项目支出。其中：政协专项业务经费87.52万元，主要用于开展重点调研、督办提案、课题研究等工作，切实履行政协政治协商、民主监督、参政议政的职能；办公楼运行后勤保障经费118.51万元，主要用于办公大楼水电、物业、维修等后勤保障工作，保障办公楼正常运转；委员工作经费143.8万元，主要用于委员活动、课题调研、提案工作、社情民意、远程协商等委员履职活动开展；政协会议经费119万元，主要用于全年一次的政协全体会议及、常务委员会议等方面；农业农村委4.5万元，主要用于农业农村委室工作经费；绩效平安奖270万元、伙食补助54万元、工会经费补助40.5万元、物业服务补贴48.6万元；非税收入成本0.6万元。</w:t>
            </w:r>
          </w:p>
        </w:tc>
      </w:tr>
      <w:tr>
        <w:tblPrEx>
          <w:tblLayout w:type="fixed"/>
          <w:tblCellMar>
            <w:top w:w="0" w:type="dxa"/>
            <w:left w:w="108" w:type="dxa"/>
            <w:bottom w:w="0" w:type="dxa"/>
            <w:right w:w="108" w:type="dxa"/>
          </w:tblCellMar>
        </w:tblPrEx>
        <w:trPr>
          <w:trHeight w:val="499" w:hRule="atLeast"/>
        </w:trPr>
        <w:tc>
          <w:tcPr>
            <w:tcW w:w="8522" w:type="dxa"/>
            <w:tcBorders>
              <w:top w:val="nil"/>
              <w:left w:val="nil"/>
              <w:bottom w:val="nil"/>
              <w:right w:val="nil"/>
            </w:tcBorders>
            <w:shd w:val="clear" w:color="auto" w:fill="auto"/>
            <w:vAlign w:val="center"/>
          </w:tcPr>
          <w:p>
            <w:pPr>
              <w:widowControl/>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五、政府性基金预算支出</w:t>
            </w:r>
          </w:p>
        </w:tc>
      </w:tr>
      <w:tr>
        <w:tblPrEx>
          <w:tblLayout w:type="fixed"/>
          <w:tblCellMar>
            <w:top w:w="0" w:type="dxa"/>
            <w:left w:w="108" w:type="dxa"/>
            <w:bottom w:w="0" w:type="dxa"/>
            <w:right w:w="108" w:type="dxa"/>
          </w:tblCellMar>
        </w:tblPrEx>
        <w:trPr>
          <w:trHeight w:val="499"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    2022年度本部门无政府性基金安排的支出，所以公开的附件15-17（政府性基金预算）为空。</w:t>
            </w:r>
          </w:p>
        </w:tc>
      </w:tr>
      <w:tr>
        <w:tblPrEx>
          <w:tblLayout w:type="fixed"/>
          <w:tblCellMar>
            <w:top w:w="0" w:type="dxa"/>
            <w:left w:w="108" w:type="dxa"/>
            <w:bottom w:w="0" w:type="dxa"/>
            <w:right w:w="108" w:type="dxa"/>
          </w:tblCellMar>
        </w:tblPrEx>
        <w:trPr>
          <w:trHeight w:val="499" w:hRule="atLeast"/>
        </w:trPr>
        <w:tc>
          <w:tcPr>
            <w:tcW w:w="8522" w:type="dxa"/>
            <w:tcBorders>
              <w:top w:val="nil"/>
              <w:left w:val="nil"/>
              <w:bottom w:val="nil"/>
              <w:right w:val="nil"/>
            </w:tcBorders>
            <w:shd w:val="clear" w:color="auto" w:fill="auto"/>
            <w:vAlign w:val="center"/>
          </w:tcPr>
          <w:p>
            <w:pPr>
              <w:widowControl/>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六、其他重要事项的情况说明</w:t>
            </w:r>
          </w:p>
        </w:tc>
      </w:tr>
      <w:tr>
        <w:tblPrEx>
          <w:tblLayout w:type="fixed"/>
          <w:tblCellMar>
            <w:top w:w="0" w:type="dxa"/>
            <w:left w:w="108" w:type="dxa"/>
            <w:bottom w:w="0" w:type="dxa"/>
            <w:right w:w="108" w:type="dxa"/>
          </w:tblCellMar>
        </w:tblPrEx>
        <w:trPr>
          <w:trHeight w:val="499" w:hRule="atLeast"/>
        </w:trPr>
        <w:tc>
          <w:tcPr>
            <w:tcW w:w="8522" w:type="dxa"/>
            <w:tcBorders>
              <w:top w:val="nil"/>
              <w:left w:val="nil"/>
              <w:bottom w:val="nil"/>
              <w:right w:val="nil"/>
            </w:tcBorders>
            <w:shd w:val="clear" w:color="auto" w:fill="auto"/>
            <w:vAlign w:val="center"/>
          </w:tcPr>
          <w:p>
            <w:pPr>
              <w:widowControl/>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（一）机关运行经费</w:t>
            </w:r>
          </w:p>
        </w:tc>
      </w:tr>
      <w:tr>
        <w:tblPrEx>
          <w:tblLayout w:type="fixed"/>
          <w:tblCellMar>
            <w:top w:w="0" w:type="dxa"/>
            <w:left w:w="108" w:type="dxa"/>
            <w:bottom w:w="0" w:type="dxa"/>
            <w:right w:w="108" w:type="dxa"/>
          </w:tblCellMar>
        </w:tblPrEx>
        <w:trPr>
          <w:trHeight w:val="859"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本单位2022年机关运行经费当年一般公共预算拨款255.64万元，比上一年增加62.72万元，增加32.51%。主要原因一是2022年公务交通补贴是全额预算拨款，上年是拨款50%；二是正常的人员调入调出净增拨款预算。</w:t>
            </w:r>
          </w:p>
        </w:tc>
      </w:tr>
      <w:tr>
        <w:tblPrEx>
          <w:tblLayout w:type="fixed"/>
          <w:tblCellMar>
            <w:top w:w="0" w:type="dxa"/>
            <w:left w:w="108" w:type="dxa"/>
            <w:bottom w:w="0" w:type="dxa"/>
            <w:right w:w="108" w:type="dxa"/>
          </w:tblCellMar>
        </w:tblPrEx>
        <w:trPr>
          <w:trHeight w:val="499" w:hRule="atLeast"/>
        </w:trPr>
        <w:tc>
          <w:tcPr>
            <w:tcW w:w="8522" w:type="dxa"/>
            <w:tcBorders>
              <w:top w:val="nil"/>
              <w:left w:val="nil"/>
              <w:bottom w:val="nil"/>
              <w:right w:val="nil"/>
            </w:tcBorders>
            <w:shd w:val="clear" w:color="auto" w:fill="auto"/>
            <w:vAlign w:val="center"/>
          </w:tcPr>
          <w:p>
            <w:pPr>
              <w:widowControl/>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（二）“三公”经费预算</w:t>
            </w:r>
          </w:p>
        </w:tc>
      </w:tr>
      <w:tr>
        <w:tblPrEx>
          <w:tblLayout w:type="fixed"/>
          <w:tblCellMar>
            <w:top w:w="0" w:type="dxa"/>
            <w:left w:w="108" w:type="dxa"/>
            <w:bottom w:w="0" w:type="dxa"/>
            <w:right w:w="108" w:type="dxa"/>
          </w:tblCellMar>
        </w:tblPrEx>
        <w:trPr>
          <w:trHeight w:val="1500"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color w:val="FF0000"/>
                <w:kern w:val="0"/>
                <w:sz w:val="28"/>
                <w:szCs w:val="28"/>
              </w:rPr>
            </w:pPr>
            <w:r>
              <w:rPr>
                <w:rFonts w:hint="eastAsia" w:ascii="仿宋_GB2312" w:hAnsi="宋体" w:eastAsia="仿宋_GB2312" w:cs="宋体"/>
                <w:color w:val="FF0000"/>
                <w:kern w:val="0"/>
                <w:sz w:val="28"/>
                <w:szCs w:val="28"/>
              </w:rPr>
              <w:t xml:space="preserve">    </w:t>
            </w:r>
            <w:r>
              <w:rPr>
                <w:rFonts w:hint="eastAsia" w:ascii="仿宋_GB2312" w:hAnsi="宋体" w:eastAsia="仿宋_GB2312" w:cs="宋体"/>
                <w:color w:val="auto"/>
                <w:kern w:val="0"/>
                <w:sz w:val="28"/>
                <w:szCs w:val="28"/>
              </w:rPr>
              <w:t>本单位2022年“三公”经费预算数118万元，其中，公务接待费20万元，因公出国（境）费10万元，公务用车购置及运行费</w:t>
            </w:r>
            <w:r>
              <w:rPr>
                <w:rFonts w:hint="eastAsia" w:ascii="仿宋_GB2312" w:hAnsi="宋体" w:eastAsia="仿宋_GB2312" w:cs="宋体"/>
                <w:color w:val="auto"/>
                <w:kern w:val="0"/>
                <w:sz w:val="28"/>
                <w:szCs w:val="28"/>
                <w:lang w:val="en-US" w:eastAsia="zh-CN"/>
              </w:rPr>
              <w:t>88</w:t>
            </w:r>
            <w:r>
              <w:rPr>
                <w:rFonts w:hint="eastAsia" w:ascii="仿宋_GB2312" w:hAnsi="宋体" w:eastAsia="仿宋_GB2312" w:cs="宋体"/>
                <w:color w:val="auto"/>
                <w:kern w:val="0"/>
                <w:sz w:val="28"/>
                <w:szCs w:val="28"/>
              </w:rPr>
              <w:t>万元，其中公务用车购置费18万元，公务用车运行费70万元。比上一年减少2万元，降低1.67%，主要原因是继续严格落实过“紧日子”思想，进一步严明公务接待纪律，规范公务用车管理。</w:t>
            </w:r>
          </w:p>
        </w:tc>
      </w:tr>
      <w:tr>
        <w:tblPrEx>
          <w:tblLayout w:type="fixed"/>
          <w:tblCellMar>
            <w:top w:w="0" w:type="dxa"/>
            <w:left w:w="108" w:type="dxa"/>
            <w:bottom w:w="0" w:type="dxa"/>
            <w:right w:w="108" w:type="dxa"/>
          </w:tblCellMar>
        </w:tblPrEx>
        <w:trPr>
          <w:trHeight w:val="375" w:hRule="atLeast"/>
        </w:trPr>
        <w:tc>
          <w:tcPr>
            <w:tcW w:w="8522" w:type="dxa"/>
            <w:tcBorders>
              <w:top w:val="nil"/>
              <w:left w:val="nil"/>
              <w:bottom w:val="nil"/>
              <w:right w:val="nil"/>
            </w:tcBorders>
            <w:shd w:val="clear" w:color="auto" w:fill="auto"/>
            <w:vAlign w:val="center"/>
          </w:tcPr>
          <w:p>
            <w:pPr>
              <w:widowControl/>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（三）一般性支出情况</w:t>
            </w:r>
          </w:p>
        </w:tc>
      </w:tr>
      <w:tr>
        <w:tblPrEx>
          <w:tblLayout w:type="fixed"/>
          <w:tblCellMar>
            <w:top w:w="0" w:type="dxa"/>
            <w:left w:w="108" w:type="dxa"/>
            <w:bottom w:w="0" w:type="dxa"/>
            <w:right w:w="108" w:type="dxa"/>
          </w:tblCellMar>
        </w:tblPrEx>
        <w:trPr>
          <w:trHeight w:val="1875"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本单位2022年</w:t>
            </w:r>
            <w:r>
              <w:rPr>
                <w:rFonts w:hint="eastAsia" w:ascii="仿宋_GB2312" w:hAnsi="宋体" w:eastAsia="仿宋_GB2312" w:cs="宋体"/>
                <w:color w:val="000000"/>
                <w:kern w:val="0"/>
                <w:sz w:val="28"/>
                <w:szCs w:val="28"/>
              </w:rPr>
              <w:t>一般性支出</w:t>
            </w:r>
            <w:r>
              <w:rPr>
                <w:rFonts w:hint="eastAsia" w:ascii="仿宋_GB2312" w:hAnsi="宋体" w:eastAsia="仿宋_GB2312" w:cs="宋体"/>
                <w:kern w:val="0"/>
                <w:sz w:val="28"/>
                <w:szCs w:val="28"/>
              </w:rPr>
              <w:t>会议费预算</w:t>
            </w:r>
            <w:r>
              <w:rPr>
                <w:rFonts w:hint="eastAsia" w:ascii="仿宋_GB2312" w:hAnsi="宋体" w:eastAsia="仿宋_GB2312" w:cs="宋体"/>
                <w:kern w:val="0"/>
                <w:sz w:val="28"/>
                <w:szCs w:val="28"/>
                <w:lang w:val="en-US" w:eastAsia="zh-CN"/>
              </w:rPr>
              <w:t>0</w:t>
            </w:r>
            <w:r>
              <w:rPr>
                <w:rFonts w:hint="eastAsia" w:ascii="仿宋_GB2312" w:hAnsi="宋体" w:eastAsia="仿宋_GB2312" w:cs="宋体"/>
                <w:kern w:val="0"/>
                <w:sz w:val="28"/>
                <w:szCs w:val="28"/>
              </w:rPr>
              <w:t>万元，</w:t>
            </w:r>
            <w:r>
              <w:rPr>
                <w:rFonts w:hint="eastAsia" w:ascii="仿宋_GB2312" w:hAnsi="宋体" w:eastAsia="仿宋_GB2312" w:cs="宋体"/>
                <w:kern w:val="0"/>
                <w:sz w:val="28"/>
                <w:szCs w:val="28"/>
                <w:lang w:eastAsia="zh-CN"/>
              </w:rPr>
              <w:t>会议费列支主要来源于项目支出中政协会议经费，</w:t>
            </w:r>
            <w:r>
              <w:rPr>
                <w:rFonts w:hint="eastAsia" w:ascii="仿宋_GB2312" w:hAnsi="宋体" w:eastAsia="仿宋_GB2312" w:cs="宋体"/>
                <w:kern w:val="0"/>
                <w:sz w:val="28"/>
                <w:szCs w:val="28"/>
              </w:rPr>
              <w:t>拟召开1次政协全体会议、政协常务委员会议、界别协商会、政协工作会议，人数3000余人；培训费预算</w:t>
            </w:r>
            <w:r>
              <w:rPr>
                <w:rFonts w:hint="eastAsia" w:ascii="仿宋_GB2312" w:hAnsi="宋体" w:eastAsia="仿宋_GB2312" w:cs="宋体"/>
                <w:kern w:val="0"/>
                <w:sz w:val="28"/>
                <w:szCs w:val="28"/>
                <w:lang w:val="en-US" w:eastAsia="zh-CN"/>
              </w:rPr>
              <w:t>5</w:t>
            </w:r>
            <w:r>
              <w:rPr>
                <w:rFonts w:hint="eastAsia" w:ascii="仿宋_GB2312" w:hAnsi="宋体" w:eastAsia="仿宋_GB2312" w:cs="宋体"/>
                <w:kern w:val="0"/>
                <w:sz w:val="28"/>
                <w:szCs w:val="28"/>
              </w:rPr>
              <w:t>万元，拟开展15次培训，人数900人，内容为政协委员、政协干部履职及业务知识培训；2022年度本单位未计划举办节庆、晚会、论坛、赛事活动。</w:t>
            </w:r>
          </w:p>
        </w:tc>
      </w:tr>
      <w:tr>
        <w:tblPrEx>
          <w:tblLayout w:type="fixed"/>
          <w:tblCellMar>
            <w:top w:w="0" w:type="dxa"/>
            <w:left w:w="108" w:type="dxa"/>
            <w:bottom w:w="0" w:type="dxa"/>
            <w:right w:w="108" w:type="dxa"/>
          </w:tblCellMar>
        </w:tblPrEx>
        <w:trPr>
          <w:trHeight w:val="619" w:hRule="atLeast"/>
        </w:trPr>
        <w:tc>
          <w:tcPr>
            <w:tcW w:w="8522" w:type="dxa"/>
            <w:tcBorders>
              <w:top w:val="nil"/>
              <w:left w:val="nil"/>
              <w:bottom w:val="nil"/>
              <w:right w:val="nil"/>
            </w:tcBorders>
            <w:shd w:val="clear" w:color="auto" w:fill="auto"/>
            <w:vAlign w:val="center"/>
          </w:tcPr>
          <w:p>
            <w:pPr>
              <w:widowControl/>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（四）政府采购情况</w:t>
            </w:r>
          </w:p>
        </w:tc>
      </w:tr>
      <w:tr>
        <w:tblPrEx>
          <w:tblLayout w:type="fixed"/>
          <w:tblCellMar>
            <w:top w:w="0" w:type="dxa"/>
            <w:left w:w="108" w:type="dxa"/>
            <w:bottom w:w="0" w:type="dxa"/>
            <w:right w:w="108" w:type="dxa"/>
          </w:tblCellMar>
        </w:tblPrEx>
        <w:trPr>
          <w:trHeight w:val="750"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本单位2022年政府采购预算总额340万元，其中物业管理等服务预算340万元。</w:t>
            </w:r>
          </w:p>
        </w:tc>
      </w:tr>
      <w:tr>
        <w:tblPrEx>
          <w:tblLayout w:type="fixed"/>
          <w:tblCellMar>
            <w:top w:w="0" w:type="dxa"/>
            <w:left w:w="108" w:type="dxa"/>
            <w:bottom w:w="0" w:type="dxa"/>
            <w:right w:w="108" w:type="dxa"/>
          </w:tblCellMar>
        </w:tblPrEx>
        <w:trPr>
          <w:trHeight w:val="499" w:hRule="atLeast"/>
        </w:trPr>
        <w:tc>
          <w:tcPr>
            <w:tcW w:w="8522" w:type="dxa"/>
            <w:tcBorders>
              <w:top w:val="nil"/>
              <w:left w:val="nil"/>
              <w:bottom w:val="nil"/>
              <w:right w:val="nil"/>
            </w:tcBorders>
            <w:shd w:val="clear" w:color="auto" w:fill="auto"/>
            <w:vAlign w:val="center"/>
          </w:tcPr>
          <w:p>
            <w:pPr>
              <w:widowControl/>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（五）国有资产占有使用及新增资产配置情况</w:t>
            </w:r>
          </w:p>
        </w:tc>
      </w:tr>
      <w:tr>
        <w:tblPrEx>
          <w:tblLayout w:type="fixed"/>
          <w:tblCellMar>
            <w:top w:w="0" w:type="dxa"/>
            <w:left w:w="108" w:type="dxa"/>
            <w:bottom w:w="0" w:type="dxa"/>
            <w:right w:w="108" w:type="dxa"/>
          </w:tblCellMar>
        </w:tblPrEx>
        <w:trPr>
          <w:trHeight w:val="3259" w:hRule="atLeast"/>
        </w:trPr>
        <w:tc>
          <w:tcPr>
            <w:tcW w:w="8522" w:type="dxa"/>
            <w:tcBorders>
              <w:top w:val="nil"/>
              <w:left w:val="nil"/>
              <w:bottom w:val="nil"/>
              <w:right w:val="nil"/>
            </w:tcBorders>
            <w:shd w:val="clear" w:color="auto" w:fill="auto"/>
            <w:vAlign w:val="center"/>
          </w:tcPr>
          <w:p>
            <w:pPr>
              <w:widowControl/>
              <w:jc w:val="left"/>
              <w:rPr>
                <w:rFonts w:hint="eastAsia" w:ascii="仿宋_GB2312" w:hAnsi="宋体" w:eastAsia="仿宋_GB2312" w:cs="宋体"/>
                <w:kern w:val="0"/>
                <w:sz w:val="28"/>
                <w:szCs w:val="28"/>
              </w:rPr>
            </w:pPr>
            <w:r>
              <w:rPr>
                <w:rFonts w:hint="eastAsia" w:ascii="仿宋_GB2312" w:hAnsi="宋体" w:eastAsia="仿宋_GB2312" w:cs="宋体"/>
                <w:kern w:val="0"/>
                <w:sz w:val="28"/>
                <w:szCs w:val="28"/>
              </w:rPr>
              <w:t xml:space="preserve">    截至上一年12月底，本部门共有车辆10辆。其中，实物保障用车1辆、机要通信用车1辆、应急保障用车8辆、执法执勤用车0辆、特种专业技术用车0辆；单位价值50万元以上通用设备0台，单位价值100万元以上专用设备0台。</w:t>
            </w:r>
          </w:p>
          <w:p>
            <w:pPr>
              <w:widowControl/>
              <w:jc w:val="left"/>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2022年拟报废处置公务用车1辆，拟新增配置车辆1辆，主要用于应急保障，资金来源为财政追加。拟新增配备单位价值50万元以上通用设备0台，单位价值100万元以上专用设备0台。</w:t>
            </w:r>
          </w:p>
        </w:tc>
      </w:tr>
      <w:tr>
        <w:tblPrEx>
          <w:tblLayout w:type="fixed"/>
          <w:tblCellMar>
            <w:top w:w="0" w:type="dxa"/>
            <w:left w:w="108" w:type="dxa"/>
            <w:bottom w:w="0" w:type="dxa"/>
            <w:right w:w="108" w:type="dxa"/>
          </w:tblCellMar>
        </w:tblPrEx>
        <w:trPr>
          <w:trHeight w:val="499" w:hRule="atLeast"/>
        </w:trPr>
        <w:tc>
          <w:tcPr>
            <w:tcW w:w="8522" w:type="dxa"/>
            <w:tcBorders>
              <w:top w:val="nil"/>
              <w:left w:val="nil"/>
              <w:bottom w:val="nil"/>
              <w:right w:val="nil"/>
            </w:tcBorders>
            <w:shd w:val="clear" w:color="auto" w:fill="auto"/>
            <w:vAlign w:val="center"/>
          </w:tcPr>
          <w:p>
            <w:pPr>
              <w:widowControl/>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（六）预算绩效目标说明</w:t>
            </w:r>
          </w:p>
        </w:tc>
      </w:tr>
      <w:tr>
        <w:tblPrEx>
          <w:tblLayout w:type="fixed"/>
          <w:tblCellMar>
            <w:top w:w="0" w:type="dxa"/>
            <w:left w:w="108" w:type="dxa"/>
            <w:bottom w:w="0" w:type="dxa"/>
            <w:right w:w="108" w:type="dxa"/>
          </w:tblCellMar>
        </w:tblPrEx>
        <w:trPr>
          <w:trHeight w:val="750" w:hRule="atLeast"/>
        </w:trPr>
        <w:tc>
          <w:tcPr>
            <w:tcW w:w="8522"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 xml:space="preserve">    本部门所有支出实行绩效目标管理。纳入2022年部门整体支出绩效目标的金额为1956.76万元，其中，基本支出1069.73万元，项目支出887.03万元，详见文尾附表中部门预算公开表格的表21-22。</w:t>
            </w:r>
          </w:p>
        </w:tc>
      </w:tr>
      <w:tr>
        <w:tblPrEx>
          <w:tblLayout w:type="fixed"/>
          <w:tblCellMar>
            <w:top w:w="0" w:type="dxa"/>
            <w:left w:w="108" w:type="dxa"/>
            <w:bottom w:w="0" w:type="dxa"/>
            <w:right w:w="108" w:type="dxa"/>
          </w:tblCellMar>
        </w:tblPrEx>
        <w:trPr>
          <w:trHeight w:val="499" w:hRule="atLeast"/>
        </w:trPr>
        <w:tc>
          <w:tcPr>
            <w:tcW w:w="8522" w:type="dxa"/>
            <w:tcBorders>
              <w:top w:val="nil"/>
              <w:left w:val="nil"/>
              <w:bottom w:val="nil"/>
              <w:right w:val="nil"/>
            </w:tcBorders>
            <w:shd w:val="clear" w:color="auto" w:fill="auto"/>
            <w:vAlign w:val="center"/>
          </w:tcPr>
          <w:p>
            <w:pPr>
              <w:widowControl/>
              <w:ind w:firstLine="560" w:firstLineChars="200"/>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七、名词解释</w:t>
            </w:r>
          </w:p>
        </w:tc>
      </w:tr>
      <w:tr>
        <w:tblPrEx>
          <w:tblLayout w:type="fixed"/>
          <w:tblCellMar>
            <w:top w:w="0" w:type="dxa"/>
            <w:left w:w="108" w:type="dxa"/>
            <w:bottom w:w="0" w:type="dxa"/>
            <w:right w:w="108" w:type="dxa"/>
          </w:tblCellMar>
        </w:tblPrEx>
        <w:trPr>
          <w:trHeight w:val="3000" w:hRule="atLeast"/>
        </w:trPr>
        <w:tc>
          <w:tcPr>
            <w:tcW w:w="8522" w:type="dxa"/>
            <w:tcBorders>
              <w:top w:val="nil"/>
              <w:left w:val="nil"/>
              <w:bottom w:val="nil"/>
              <w:right w:val="nil"/>
            </w:tcBorders>
            <w:shd w:val="clear" w:color="auto" w:fill="auto"/>
            <w:vAlign w:val="center"/>
          </w:tcPr>
          <w:p>
            <w:pPr>
              <w:widowControl/>
              <w:ind w:firstLine="560" w:firstLineChars="200"/>
              <w:jc w:val="left"/>
              <w:rPr>
                <w:rFonts w:ascii="仿宋_GB2312" w:hAnsi="宋体" w:eastAsia="仿宋_GB2312" w:cs="宋体"/>
                <w:color w:val="000000"/>
                <w:kern w:val="0"/>
                <w:sz w:val="28"/>
                <w:szCs w:val="28"/>
              </w:rPr>
            </w:pPr>
            <w:bookmarkStart w:id="0" w:name="_GoBack"/>
            <w:bookmarkEnd w:id="0"/>
            <w:r>
              <w:rPr>
                <w:rFonts w:hint="eastAsia" w:ascii="仿宋_GB2312" w:hAnsi="宋体" w:eastAsia="仿宋_GB2312" w:cs="宋体"/>
                <w:color w:val="000000"/>
                <w:kern w:val="0"/>
                <w:sz w:val="28"/>
                <w:szCs w:val="28"/>
              </w:rPr>
              <w:t>1、机关运行经费：是指各部门的公用经费，包括办公及印刷费、邮电费、差旅费、会议费、福利费、日常维修费、专用资料及一般设备购置费、办公用房水电费、办公用房取暖费、办公用房物业管理费、公务用车运行维护费以及其他费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 xml:space="preserve">    2、“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tc>
      </w:tr>
      <w:tr>
        <w:tblPrEx>
          <w:tblLayout w:type="fixed"/>
          <w:tblCellMar>
            <w:top w:w="0" w:type="dxa"/>
            <w:left w:w="108" w:type="dxa"/>
            <w:bottom w:w="0" w:type="dxa"/>
            <w:right w:w="108" w:type="dxa"/>
          </w:tblCellMar>
        </w:tblPrEx>
        <w:trPr>
          <w:trHeight w:val="900" w:hRule="atLeast"/>
        </w:trPr>
        <w:tc>
          <w:tcPr>
            <w:tcW w:w="8522" w:type="dxa"/>
            <w:tcBorders>
              <w:top w:val="nil"/>
              <w:left w:val="nil"/>
              <w:bottom w:val="nil"/>
              <w:right w:val="nil"/>
            </w:tcBorders>
            <w:shd w:val="clear" w:color="auto" w:fill="auto"/>
            <w:vAlign w:val="center"/>
          </w:tcPr>
          <w:p>
            <w:pPr>
              <w:widowControl/>
              <w:jc w:val="center"/>
              <w:rPr>
                <w:rFonts w:ascii="黑体" w:hAnsi="黑体" w:eastAsia="黑体" w:cs="宋体"/>
                <w:color w:val="000000"/>
                <w:kern w:val="0"/>
                <w:sz w:val="36"/>
                <w:szCs w:val="36"/>
              </w:rPr>
            </w:pPr>
            <w:r>
              <w:rPr>
                <w:rFonts w:hint="eastAsia" w:ascii="黑体" w:hAnsi="黑体" w:eastAsia="黑体" w:cs="宋体"/>
                <w:color w:val="000000"/>
                <w:kern w:val="0"/>
                <w:sz w:val="36"/>
                <w:szCs w:val="36"/>
              </w:rPr>
              <w:t>第二部分  2022年部门预算公开表格</w:t>
            </w:r>
          </w:p>
        </w:tc>
      </w:tr>
      <w:tr>
        <w:tblPrEx>
          <w:tblLayout w:type="fixed"/>
          <w:tblCellMar>
            <w:top w:w="0" w:type="dxa"/>
            <w:left w:w="108" w:type="dxa"/>
            <w:bottom w:w="0" w:type="dxa"/>
            <w:right w:w="108" w:type="dxa"/>
          </w:tblCellMar>
        </w:tblPrEx>
        <w:trPr>
          <w:trHeight w:val="4500" w:hRule="atLeast"/>
        </w:trPr>
        <w:tc>
          <w:tcPr>
            <w:tcW w:w="8522" w:type="dxa"/>
            <w:vMerge w:val="restart"/>
            <w:tcBorders>
              <w:top w:val="nil"/>
              <w:left w:val="nil"/>
              <w:bottom w:val="nil"/>
              <w:right w:val="nil"/>
            </w:tcBorders>
            <w:shd w:val="clear" w:color="auto" w:fill="auto"/>
            <w:vAlign w:val="center"/>
          </w:tcPr>
          <w:p>
            <w:pPr>
              <w:widowControl/>
              <w:numPr>
                <w:ilvl w:val="0"/>
                <w:numId w:val="2"/>
              </w:numPr>
              <w:jc w:val="left"/>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收支总表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2、收入总表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3、支出总表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4、支出预算分类汇总表（按政府预算经济分类）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5、支出预算分类汇总表（按部门预算经济分类）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6、财政拨款收支总表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7、一般公共预算支出表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8、一般公共预算基本支出表-人员经费（工资福利支出）（按政府预算经济分类）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9、一般公共预算基本支出表-人员经费（工资福利支出）（按部门预算经济分类）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10、一般公共预算基本支出表-人员经费（对个人和家庭的补助）（按政府预算经济分类）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11、一般公共预算基本支出表-人员经费（对个人和家庭的补助）（按部门预算经济分类）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12、一般公共预算基本支出表-</w:t>
            </w:r>
            <w:r>
              <w:rPr>
                <w:rFonts w:hint="eastAsia" w:ascii="仿宋_GB2312" w:hAnsi="宋体" w:eastAsia="仿宋_GB2312" w:cs="宋体"/>
                <w:color w:val="000000"/>
                <w:kern w:val="0"/>
                <w:sz w:val="28"/>
                <w:szCs w:val="28"/>
                <w:lang w:val="en-US" w:eastAsia="zh-CN"/>
              </w:rPr>
              <w:t>公用</w:t>
            </w:r>
            <w:r>
              <w:rPr>
                <w:rFonts w:hint="eastAsia" w:ascii="仿宋_GB2312" w:hAnsi="宋体" w:eastAsia="仿宋_GB2312" w:cs="宋体"/>
                <w:color w:val="000000"/>
                <w:kern w:val="0"/>
                <w:sz w:val="28"/>
                <w:szCs w:val="28"/>
              </w:rPr>
              <w:t>经费（商品和服务支出）（按政府预算经济分类）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13、一般公共预算基本支出表-</w:t>
            </w:r>
            <w:r>
              <w:rPr>
                <w:rFonts w:hint="eastAsia" w:ascii="仿宋_GB2312" w:hAnsi="宋体" w:eastAsia="仿宋_GB2312" w:cs="宋体"/>
                <w:color w:val="000000"/>
                <w:kern w:val="0"/>
                <w:sz w:val="28"/>
                <w:szCs w:val="28"/>
                <w:lang w:val="en-US" w:eastAsia="zh-CN"/>
              </w:rPr>
              <w:t>公用</w:t>
            </w:r>
            <w:r>
              <w:rPr>
                <w:rFonts w:hint="eastAsia" w:ascii="仿宋_GB2312" w:hAnsi="宋体" w:eastAsia="仿宋_GB2312" w:cs="宋体"/>
                <w:color w:val="000000"/>
                <w:kern w:val="0"/>
                <w:sz w:val="28"/>
                <w:szCs w:val="28"/>
              </w:rPr>
              <w:t>经费（商品和服务支出）（按部门预算经济分类）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14、一般公共预算“三公”经费支出表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15、政府性基金预算支出表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16、政府性基金预算支出分类汇总表（按政府预算经济分类）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17、政府性基金预算支出分类汇总表（按部门预算经济分类）</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18、国有资本经营预算支出表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19、财政专户管理资金预算支出表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20、专项资金预算汇总表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21、项目支出绩效目标表</w:t>
            </w: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22、整体支出绩效目标表</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jc w:val="both"/>
              <w:textAlignment w:val="center"/>
              <w:rPr>
                <w:rFonts w:hint="eastAsia" w:ascii="微软雅黑" w:hAnsi="微软雅黑" w:eastAsia="微软雅黑" w:cs="微软雅黑"/>
                <w:i w:val="0"/>
                <w:iCs w:val="0"/>
                <w:caps w:val="0"/>
                <w:color w:val="333333"/>
                <w:spacing w:val="0"/>
                <w:sz w:val="28"/>
                <w:szCs w:val="28"/>
                <w:lang w:val="en-US" w:eastAsia="zh-CN"/>
              </w:rPr>
            </w:pPr>
            <w:r>
              <w:rPr>
                <w:rFonts w:hint="eastAsia" w:ascii="微软雅黑" w:hAnsi="微软雅黑" w:eastAsia="微软雅黑" w:cs="微软雅黑"/>
                <w:i w:val="0"/>
                <w:iCs w:val="0"/>
                <w:caps w:val="0"/>
                <w:color w:val="333333"/>
                <w:spacing w:val="0"/>
                <w:sz w:val="28"/>
                <w:szCs w:val="28"/>
                <w:lang w:val="en-US" w:eastAsia="zh-CN"/>
              </w:rPr>
              <w:t>23、一般公共预算基本支出表</w:t>
            </w:r>
          </w:p>
          <w:p>
            <w:pPr>
              <w:widowControl/>
              <w:numPr>
                <w:ilvl w:val="0"/>
                <w:numId w:val="0"/>
              </w:numPr>
              <w:jc w:val="left"/>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br w:type="textWrapping"/>
            </w:r>
            <w:r>
              <w:rPr>
                <w:rFonts w:hint="eastAsia" w:ascii="仿宋_GB2312" w:hAnsi="宋体" w:eastAsia="仿宋_GB2312" w:cs="宋体"/>
                <w:color w:val="000000"/>
                <w:kern w:val="0"/>
                <w:sz w:val="28"/>
                <w:szCs w:val="28"/>
              </w:rPr>
              <w:t>注：以上单位预算公开报表中，空表表示本单位无相关收支情况。</w:t>
            </w:r>
          </w:p>
        </w:tc>
      </w:tr>
      <w:tr>
        <w:tblPrEx>
          <w:tblLayout w:type="fixed"/>
          <w:tblCellMar>
            <w:top w:w="0" w:type="dxa"/>
            <w:left w:w="108" w:type="dxa"/>
            <w:bottom w:w="0" w:type="dxa"/>
            <w:right w:w="108" w:type="dxa"/>
          </w:tblCellMar>
        </w:tblPrEx>
        <w:trPr>
          <w:trHeight w:val="4500" w:hRule="atLeast"/>
        </w:trPr>
        <w:tc>
          <w:tcPr>
            <w:tcW w:w="8522" w:type="dxa"/>
            <w:vMerge w:val="continue"/>
            <w:tcBorders>
              <w:top w:val="nil"/>
              <w:left w:val="nil"/>
              <w:bottom w:val="nil"/>
              <w:right w:val="nil"/>
            </w:tcBorders>
            <w:vAlign w:val="center"/>
          </w:tcPr>
          <w:p>
            <w:pPr>
              <w:widowControl/>
              <w:jc w:val="left"/>
              <w:rPr>
                <w:rFonts w:ascii="仿宋_GB2312" w:hAnsi="宋体" w:eastAsia="仿宋_GB2312" w:cs="宋体"/>
                <w:color w:val="000000"/>
                <w:kern w:val="0"/>
                <w:sz w:val="28"/>
                <w:szCs w:val="28"/>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3778178-97F9-4685-8A12-08A5F4CC126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A472E75C-E271-49D9-BC1E-78997060C241}"/>
  </w:font>
  <w:font w:name="方正小标宋_GBK">
    <w:panose1 w:val="03000509000000000000"/>
    <w:charset w:val="86"/>
    <w:family w:val="roman"/>
    <w:pitch w:val="default"/>
    <w:sig w:usb0="00000001" w:usb1="080E0000" w:usb2="00000000" w:usb3="00000000" w:csb0="00040000" w:csb1="00000000"/>
    <w:embedRegular r:id="rId3" w:fontKey="{5DFA991A-9AF7-4E83-96FE-24105AEF46B3}"/>
  </w:font>
  <w:font w:name="仿宋_GB2312">
    <w:panose1 w:val="02010609030101010101"/>
    <w:charset w:val="86"/>
    <w:family w:val="auto"/>
    <w:pitch w:val="default"/>
    <w:sig w:usb0="00000001" w:usb1="080E0000" w:usb2="00000000" w:usb3="00000000" w:csb0="00040000" w:csb1="00000000"/>
    <w:embedRegular r:id="rId4" w:fontKey="{93BFA122-53CF-46B4-87F2-8F5FA10D7B6E}"/>
  </w:font>
  <w:font w:name="微软雅黑">
    <w:panose1 w:val="020B0503020204020204"/>
    <w:charset w:val="86"/>
    <w:family w:val="auto"/>
    <w:pitch w:val="default"/>
    <w:sig w:usb0="80000287" w:usb1="280F3C52" w:usb2="00000016" w:usb3="00000000" w:csb0="0004001F" w:csb1="00000000"/>
    <w:embedRegular r:id="rId5" w:fontKey="{6D94718B-1A75-4F51-80CB-57B091E860C9}"/>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7A2E7C0"/>
    <w:multiLevelType w:val="singleLevel"/>
    <w:tmpl w:val="D7A2E7C0"/>
    <w:lvl w:ilvl="0" w:tentative="0">
      <w:start w:val="1"/>
      <w:numFmt w:val="decimal"/>
      <w:suff w:val="nothing"/>
      <w:lvlText w:val="%1、"/>
      <w:lvlJc w:val="left"/>
    </w:lvl>
  </w:abstractNum>
  <w:abstractNum w:abstractNumId="1">
    <w:nsid w:val="3BF3FB81"/>
    <w:multiLevelType w:val="singleLevel"/>
    <w:tmpl w:val="3BF3FB81"/>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xYTk2ODNkM2JjMjhmOGQ1OTBkMDcxNmY3M2Y0OWUifQ=="/>
  </w:docVars>
  <w:rsids>
    <w:rsidRoot w:val="00240BF5"/>
    <w:rsid w:val="00240BF5"/>
    <w:rsid w:val="005C476B"/>
    <w:rsid w:val="005E3D8C"/>
    <w:rsid w:val="11506348"/>
    <w:rsid w:val="17D05065"/>
    <w:rsid w:val="1FEC11B9"/>
    <w:rsid w:val="30D56E8E"/>
    <w:rsid w:val="405D7D35"/>
    <w:rsid w:val="5291508F"/>
    <w:rsid w:val="5CD234E3"/>
    <w:rsid w:val="5F5A6663"/>
    <w:rsid w:val="6BD05B63"/>
    <w:rsid w:val="718A73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3"/>
    <w:qFormat/>
    <w:uiPriority w:val="0"/>
    <w:pPr>
      <w:spacing w:after="120"/>
    </w:pPr>
    <w:rPr>
      <w:rFonts w:ascii="Times New Roman" w:hAnsi="Times New Roman"/>
      <w:szCs w:val="24"/>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footer"/>
    <w:basedOn w:val="1"/>
    <w:link w:val="9"/>
    <w:semiHidden/>
    <w:unhideWhenUsed/>
    <w:qFormat/>
    <w:uiPriority w:val="99"/>
    <w:pPr>
      <w:tabs>
        <w:tab w:val="center" w:pos="4153"/>
        <w:tab w:val="right" w:pos="8306"/>
      </w:tabs>
      <w:snapToGrid w:val="0"/>
      <w:jc w:val="left"/>
    </w:pPr>
    <w:rPr>
      <w:sz w:val="18"/>
      <w:szCs w:val="18"/>
    </w:rPr>
  </w:style>
  <w:style w:type="paragraph" w:styleId="5">
    <w:name w:val="Normal (Web)"/>
    <w:basedOn w:val="1"/>
    <w:qFormat/>
    <w:uiPriority w:val="99"/>
    <w:pPr>
      <w:spacing w:beforeAutospacing="1" w:afterAutospacing="1"/>
      <w:jc w:val="left"/>
    </w:pPr>
    <w:rPr>
      <w:kern w:val="0"/>
      <w:sz w:val="24"/>
      <w:szCs w:val="24"/>
    </w:rPr>
  </w:style>
  <w:style w:type="character" w:customStyle="1" w:styleId="8">
    <w:name w:val="页眉 Char"/>
    <w:basedOn w:val="7"/>
    <w:link w:val="3"/>
    <w:semiHidden/>
    <w:qFormat/>
    <w:uiPriority w:val="99"/>
    <w:rPr>
      <w:sz w:val="18"/>
      <w:szCs w:val="18"/>
    </w:rPr>
  </w:style>
  <w:style w:type="character" w:customStyle="1" w:styleId="9">
    <w:name w:val="页脚 Char"/>
    <w:basedOn w:val="7"/>
    <w:link w:val="4"/>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3966</Words>
  <Characters>4290</Characters>
  <Lines>31</Lines>
  <Paragraphs>8</Paragraphs>
  <TotalTime>11</TotalTime>
  <ScaleCrop>false</ScaleCrop>
  <LinksUpToDate>false</LinksUpToDate>
  <CharactersWithSpaces>4368</CharactersWithSpaces>
  <Application>WPS Office_11.1.0.8799_F1E327BC-269C-435d-A152-05C5408002CA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2023-05-27T02:05:00Z</dcterms:created>
  <dc:creator>PC</dc:creator>
  <cp:lastModifiedBy>笑魂魂</cp:lastModifiedBy>
  <dcterms:modified xsi:type="dcterms:W3CDTF">2023-09-25T02:12:51Z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2052-11.1.0.8799</vt:lpwstr>
  </property>
  <property fmtid="{D5CDD505-2E9C-101B-9397-08002B2CF9AE}" pid="3" name="ICV">
    <vt:lpwstr>F920B6D4C2024EFA9F5ACE7395F1A95A</vt:lpwstr>
  </property>
</Properties>
</file>