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8522" w:type="dxa"/>
        <w:tblInd w:w="0" w:type="dxa"/>
        <w:tblLayout w:type="fixed"/>
        <w:tblCellMar>
          <w:top w:w="0" w:type="dxa"/>
          <w:left w:w="108" w:type="dxa"/>
          <w:bottom w:w="0" w:type="dxa"/>
          <w:right w:w="108" w:type="dxa"/>
        </w:tblCellMar>
      </w:tblPr>
      <w:tblGrid>
        <w:gridCol w:w="8522"/>
      </w:tblGrid>
      <w:tr>
        <w:tblPrEx>
          <w:tblLayout w:type="fixed"/>
          <w:tblCellMar>
            <w:top w:w="0" w:type="dxa"/>
            <w:left w:w="108" w:type="dxa"/>
            <w:bottom w:w="0" w:type="dxa"/>
            <w:right w:w="108" w:type="dxa"/>
          </w:tblCellMar>
        </w:tblPrEx>
        <w:trPr>
          <w:trHeight w:val="1380" w:hRule="atLeast"/>
        </w:trPr>
        <w:tc>
          <w:tcPr>
            <w:tcW w:w="8522" w:type="dxa"/>
            <w:tcBorders>
              <w:top w:val="nil"/>
              <w:left w:val="nil"/>
              <w:bottom w:val="nil"/>
              <w:right w:val="nil"/>
            </w:tcBorders>
            <w:shd w:val="clear" w:color="auto" w:fill="auto"/>
            <w:vAlign w:val="center"/>
          </w:tcPr>
          <w:p>
            <w:pPr>
              <w:widowControl/>
              <w:jc w:val="center"/>
              <w:rPr>
                <w:rFonts w:ascii="方正小标宋_GBK" w:hAnsi="宋体" w:eastAsia="方正小标宋_GBK" w:cs="宋体"/>
                <w:color w:val="000000"/>
                <w:kern w:val="0"/>
                <w:sz w:val="44"/>
                <w:szCs w:val="44"/>
              </w:rPr>
            </w:pPr>
            <w:r>
              <w:rPr>
                <w:rFonts w:hint="eastAsia" w:ascii="方正小标宋_GBK" w:hAnsi="宋体" w:eastAsia="方正小标宋_GBK" w:cs="宋体"/>
                <w:color w:val="000000"/>
                <w:kern w:val="0"/>
                <w:sz w:val="44"/>
                <w:szCs w:val="44"/>
              </w:rPr>
              <w:t>中国人民政治协商会议岳阳市委员会2022年度部门预算</w:t>
            </w:r>
          </w:p>
        </w:tc>
      </w:tr>
      <w:tr>
        <w:tblPrEx>
          <w:tblLayout w:type="fixed"/>
          <w:tblCellMar>
            <w:top w:w="0" w:type="dxa"/>
            <w:left w:w="108" w:type="dxa"/>
            <w:bottom w:w="0" w:type="dxa"/>
            <w:right w:w="108" w:type="dxa"/>
          </w:tblCellMar>
        </w:tblPrEx>
        <w:trPr>
          <w:trHeight w:val="499" w:hRule="atLeast"/>
        </w:trPr>
        <w:tc>
          <w:tcPr>
            <w:tcW w:w="8522" w:type="dxa"/>
            <w:tcBorders>
              <w:top w:val="nil"/>
              <w:left w:val="nil"/>
              <w:bottom w:val="nil"/>
              <w:right w:val="nil"/>
            </w:tcBorders>
            <w:shd w:val="clear" w:color="auto" w:fill="auto"/>
            <w:vAlign w:val="center"/>
          </w:tcPr>
          <w:p>
            <w:pPr>
              <w:widowControl/>
              <w:jc w:val="center"/>
              <w:rPr>
                <w:rFonts w:ascii="黑体" w:hAnsi="黑体" w:eastAsia="黑体" w:cs="宋体"/>
                <w:kern w:val="0"/>
                <w:sz w:val="36"/>
                <w:szCs w:val="36"/>
              </w:rPr>
            </w:pPr>
            <w:r>
              <w:rPr>
                <w:rFonts w:hint="eastAsia" w:ascii="黑体" w:hAnsi="黑体" w:eastAsia="黑体" w:cs="宋体"/>
                <w:kern w:val="0"/>
                <w:sz w:val="36"/>
                <w:szCs w:val="36"/>
              </w:rPr>
              <w:t>目录</w:t>
            </w:r>
          </w:p>
        </w:tc>
      </w:tr>
      <w:tr>
        <w:tblPrEx>
          <w:tblLayout w:type="fixed"/>
          <w:tblCellMar>
            <w:top w:w="0" w:type="dxa"/>
            <w:left w:w="108" w:type="dxa"/>
            <w:bottom w:w="0" w:type="dxa"/>
            <w:right w:w="108" w:type="dxa"/>
          </w:tblCellMar>
        </w:tblPrEx>
        <w:trPr>
          <w:trHeight w:val="499"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第一部分  2022年部门预算说明</w:t>
            </w:r>
          </w:p>
        </w:tc>
      </w:tr>
      <w:tr>
        <w:tblPrEx>
          <w:tblLayout w:type="fixed"/>
          <w:tblCellMar>
            <w:top w:w="0" w:type="dxa"/>
            <w:left w:w="108" w:type="dxa"/>
            <w:bottom w:w="0" w:type="dxa"/>
            <w:right w:w="108" w:type="dxa"/>
          </w:tblCellMar>
        </w:tblPrEx>
        <w:trPr>
          <w:trHeight w:val="499"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第二部分  2022年部门预算公开表格</w:t>
            </w:r>
          </w:p>
        </w:tc>
      </w:tr>
      <w:tr>
        <w:tblPrEx>
          <w:tblLayout w:type="fixed"/>
          <w:tblCellMar>
            <w:top w:w="0" w:type="dxa"/>
            <w:left w:w="108" w:type="dxa"/>
            <w:bottom w:w="0" w:type="dxa"/>
            <w:right w:w="108" w:type="dxa"/>
          </w:tblCellMar>
        </w:tblPrEx>
        <w:trPr>
          <w:trHeight w:val="4519" w:hRule="atLeast"/>
        </w:trPr>
        <w:tc>
          <w:tcPr>
            <w:tcW w:w="8522" w:type="dxa"/>
            <w:vMerge w:val="restart"/>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1、收支总表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2、收入总表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3、支出总表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4、支出预算分类汇总表（按政府预算经济分类）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5、支出预算分类汇总表（按部门预算经济分类）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6、财政拨款收支总表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7、一般公共预算支出表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8、一般公共预算基本支出表-人员经费（工资福利支出）（按政府预算经济分类）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9、一般公共预算基本支出表-人员经费（工资福利支出）（按部门预算经济分类）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10、一般公共预算基本支出表-人员经费（对个人和家庭的补助）（按政府预算经济分类）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11、一般公共预算基本支出表-人员经费（对个人和家庭的补助）（按部门预算经济分类）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12、一般公共预算基本支出表-人员经费（商品和服务支出）（按政府预算经济分类）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13、一般公共预算基本支出表-人员经费（商品和服务支出）（按部门预算经济分类）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14、一般公共预算“三公”经费支出表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15、政府性基金预算支出表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16、政府性基金预算支出分类汇总表（按政府预算经济分类）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17、政府性基金预算支出分类汇总表（按部门预算经济分类）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18、国有资本经营预算支出表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19、财政专户管理资金预算支出表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20、专项资金预算汇总表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21、项目支出绩效目标表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22、整体支出绩效目标表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注：以上单位预算公开报表中，空表表示本单位无相关收支情况。</w:t>
            </w:r>
          </w:p>
        </w:tc>
      </w:tr>
      <w:tr>
        <w:tblPrEx>
          <w:tblLayout w:type="fixed"/>
          <w:tblCellMar>
            <w:top w:w="0" w:type="dxa"/>
            <w:left w:w="108" w:type="dxa"/>
            <w:bottom w:w="0" w:type="dxa"/>
            <w:right w:w="108" w:type="dxa"/>
          </w:tblCellMar>
        </w:tblPrEx>
        <w:trPr>
          <w:trHeight w:val="4519" w:hRule="atLeast"/>
        </w:trPr>
        <w:tc>
          <w:tcPr>
            <w:tcW w:w="8522" w:type="dxa"/>
            <w:vMerge w:val="continue"/>
            <w:tcBorders>
              <w:top w:val="nil"/>
              <w:left w:val="nil"/>
              <w:bottom w:val="nil"/>
              <w:right w:val="nil"/>
            </w:tcBorders>
            <w:vAlign w:val="center"/>
          </w:tcPr>
          <w:p>
            <w:pPr>
              <w:widowControl/>
              <w:jc w:val="left"/>
              <w:rPr>
                <w:rFonts w:ascii="仿宋_GB2312" w:hAnsi="宋体" w:eastAsia="仿宋_GB2312" w:cs="宋体"/>
                <w:color w:val="000000"/>
                <w:kern w:val="0"/>
                <w:sz w:val="28"/>
                <w:szCs w:val="28"/>
              </w:rPr>
            </w:pPr>
          </w:p>
        </w:tc>
      </w:tr>
      <w:tr>
        <w:tblPrEx>
          <w:tblLayout w:type="fixed"/>
          <w:tblCellMar>
            <w:top w:w="0" w:type="dxa"/>
            <w:left w:w="108" w:type="dxa"/>
            <w:bottom w:w="0" w:type="dxa"/>
            <w:right w:w="108" w:type="dxa"/>
          </w:tblCellMar>
        </w:tblPrEx>
        <w:trPr>
          <w:trHeight w:val="840" w:hRule="atLeast"/>
        </w:trPr>
        <w:tc>
          <w:tcPr>
            <w:tcW w:w="8522" w:type="dxa"/>
            <w:tcBorders>
              <w:top w:val="nil"/>
              <w:left w:val="nil"/>
              <w:bottom w:val="nil"/>
              <w:right w:val="nil"/>
            </w:tcBorders>
            <w:shd w:val="clear" w:color="auto" w:fill="auto"/>
            <w:vAlign w:val="center"/>
          </w:tcPr>
          <w:p>
            <w:pPr>
              <w:widowControl/>
              <w:jc w:val="center"/>
              <w:rPr>
                <w:rFonts w:ascii="黑体" w:hAnsi="黑体" w:eastAsia="黑体" w:cs="宋体"/>
                <w:color w:val="000000"/>
                <w:kern w:val="0"/>
                <w:sz w:val="36"/>
                <w:szCs w:val="36"/>
              </w:rPr>
            </w:pPr>
            <w:r>
              <w:rPr>
                <w:rFonts w:hint="eastAsia" w:ascii="黑体" w:hAnsi="黑体" w:eastAsia="黑体" w:cs="宋体"/>
                <w:color w:val="000000"/>
                <w:kern w:val="0"/>
                <w:sz w:val="36"/>
                <w:szCs w:val="36"/>
              </w:rPr>
              <w:t>第一部分  2022年部门预算说明</w:t>
            </w:r>
          </w:p>
        </w:tc>
      </w:tr>
      <w:tr>
        <w:tblPrEx>
          <w:tblLayout w:type="fixed"/>
          <w:tblCellMar>
            <w:top w:w="0" w:type="dxa"/>
            <w:left w:w="108" w:type="dxa"/>
            <w:bottom w:w="0" w:type="dxa"/>
            <w:right w:w="108" w:type="dxa"/>
          </w:tblCellMar>
        </w:tblPrEx>
        <w:trPr>
          <w:trHeight w:val="3375" w:hRule="atLeast"/>
        </w:trPr>
        <w:tc>
          <w:tcPr>
            <w:tcW w:w="8522" w:type="dxa"/>
            <w:tcBorders>
              <w:top w:val="nil"/>
              <w:left w:val="nil"/>
              <w:bottom w:val="nil"/>
              <w:right w:val="nil"/>
            </w:tcBorders>
            <w:shd w:val="clear" w:color="auto" w:fill="auto"/>
            <w:vAlign w:val="center"/>
          </w:tcPr>
          <w:p>
            <w:pPr>
              <w:widowControl/>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一、单位基本概况</w:t>
            </w:r>
          </w:p>
          <w:p>
            <w:pPr>
              <w:widowControl/>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（一）职能职责</w:t>
            </w:r>
          </w:p>
          <w:p>
            <w:pPr>
              <w:widowControl/>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1.负责组织实施政协章程规定的任务和全国政协、湖南省政协所作的决议，履行政治协商、民主监督和参政议政的职能。</w:t>
            </w:r>
          </w:p>
          <w:p>
            <w:pPr>
              <w:widowControl/>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2.负责市政协全体委员会议、常务委员会议、主席会议、专题议政性常委会议的会务工作。组织实施市政协全体委员会议、常务委员会议、主席会议的决议、决定。</w:t>
            </w:r>
          </w:p>
          <w:p>
            <w:pPr>
              <w:widowControl/>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3.负责会同市委办、市政府办制订年度调研协商监督计划。</w:t>
            </w:r>
          </w:p>
          <w:p>
            <w:pPr>
              <w:widowControl/>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4.整理、报送政协组织和委员履行职能形成的调研报告、视察报告、大会发言、建议案；收集反映社情民意，处理政协委员和人民群众的来信来访。</w:t>
            </w:r>
          </w:p>
          <w:p>
            <w:pPr>
              <w:widowControl/>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 xml:space="preserve">      5.研究统一战线和人民政协的理论、政策，提出人民政协履行职能的工作建议，总结地方政协的工作经验；协调和组织市政协的对内对外宣传工作。</w:t>
            </w:r>
          </w:p>
          <w:p>
            <w:pPr>
              <w:widowControl/>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 xml:space="preserve"> 6.负责委员视察、调查、评议、参观、学习、座谈、研讨等活动的具体组织和服务工作。</w:t>
            </w:r>
          </w:p>
          <w:p>
            <w:pPr>
              <w:widowControl/>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 xml:space="preserve"> 7.密切与市委、市政府有关部门和县(市、区)政协的工作联系；负责联络各民主党派市委、市工商联、市知联会。</w:t>
            </w:r>
          </w:p>
          <w:p>
            <w:pPr>
              <w:widowControl/>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 xml:space="preserve"> 8.负责市政协机关的机构编制、人事管理和机关事务管理工作。</w:t>
            </w:r>
          </w:p>
          <w:p>
            <w:pPr>
              <w:widowControl/>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 xml:space="preserve"> 9.承办市政协全体委员会议、常务委员会议、主席会议交办的其它事项。</w:t>
            </w:r>
          </w:p>
          <w:p>
            <w:pPr>
              <w:widowControl/>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（二）机构设置</w:t>
            </w:r>
          </w:p>
          <w:p>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根据编委核定，我机关由办公室、提案委员会、经济科技和外事委员会、委员学习联络委员会、社会法制和民族宗教委员会、人口资源环境委员会、文化教育卫生体育和文史委员会、农业和农村委员会、研究室9个正处级单位以及市纪委派驻市政协纪检组组成。办公室内设6个职能科室，分别为办公室秘书科、财务科、政工科、法制信访科、课题预研科、宣传信息科。研究室内设综合科，其他7个专门工作委员会各分别内设综合科。机关党委、机关纪委、机关工会、离退休人员管理服务科按有关章程和规定设置。机关下设办公室网络信息中心、机关事务中心为全额拨款事业单位。</w:t>
            </w:r>
          </w:p>
        </w:tc>
      </w:tr>
      <w:tr>
        <w:tblPrEx>
          <w:tblLayout w:type="fixed"/>
          <w:tblCellMar>
            <w:top w:w="0" w:type="dxa"/>
            <w:left w:w="108" w:type="dxa"/>
            <w:bottom w:w="0" w:type="dxa"/>
            <w:right w:w="108" w:type="dxa"/>
          </w:tblCellMar>
        </w:tblPrEx>
        <w:trPr>
          <w:trHeight w:val="499" w:hRule="atLeast"/>
        </w:trPr>
        <w:tc>
          <w:tcPr>
            <w:tcW w:w="8522" w:type="dxa"/>
            <w:tcBorders>
              <w:top w:val="nil"/>
              <w:left w:val="nil"/>
              <w:bottom w:val="nil"/>
              <w:right w:val="nil"/>
            </w:tcBorders>
            <w:shd w:val="clear" w:color="auto" w:fill="auto"/>
            <w:vAlign w:val="center"/>
          </w:tcPr>
          <w:p>
            <w:pPr>
              <w:widowControl/>
              <w:rPr>
                <w:rFonts w:hint="eastAsia" w:ascii="仿宋_GB2312" w:hAnsi="宋体" w:eastAsia="仿宋_GB2312" w:cs="宋体"/>
                <w:color w:val="FF0000"/>
                <w:kern w:val="0"/>
                <w:sz w:val="28"/>
                <w:szCs w:val="28"/>
              </w:rPr>
            </w:pPr>
            <w:r>
              <w:rPr>
                <w:rFonts w:hint="eastAsia" w:ascii="仿宋_GB2312" w:hAnsi="宋体" w:eastAsia="仿宋_GB2312" w:cs="宋体"/>
                <w:color w:val="auto"/>
                <w:kern w:val="0"/>
                <w:sz w:val="28"/>
                <w:szCs w:val="28"/>
              </w:rPr>
              <w:t>二、部门预算单位构成</w:t>
            </w:r>
            <w:r>
              <w:rPr>
                <w:rFonts w:hint="eastAsia" w:ascii="仿宋_GB2312" w:hAnsi="宋体" w:eastAsia="仿宋_GB2312" w:cs="宋体"/>
                <w:color w:val="FF0000"/>
                <w:kern w:val="0"/>
                <w:sz w:val="28"/>
                <w:szCs w:val="28"/>
              </w:rPr>
              <w:br w:type="textWrapping"/>
            </w:r>
            <w:r>
              <w:rPr>
                <w:rFonts w:hint="eastAsia" w:ascii="仿宋_GB2312" w:hAnsi="宋体" w:eastAsia="仿宋_GB2312" w:cs="宋体"/>
                <w:color w:val="FF0000"/>
                <w:kern w:val="0"/>
                <w:sz w:val="28"/>
                <w:szCs w:val="28"/>
              </w:rPr>
              <w:t xml:space="preserve">   </w:t>
            </w:r>
            <w:r>
              <w:rPr>
                <w:rFonts w:hint="eastAsia" w:ascii="仿宋_GB2312" w:hAnsi="宋体" w:eastAsia="仿宋_GB2312" w:cs="宋体"/>
                <w:kern w:val="0"/>
                <w:sz w:val="28"/>
                <w:szCs w:val="28"/>
              </w:rPr>
              <w:t>我单位无二级预算单位，因此，纳入2022年部门预算编制范围的为中国人民政治协商会议岳阳市委员会本级。</w:t>
            </w:r>
          </w:p>
          <w:p>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三、部门收支总体情况</w:t>
            </w:r>
          </w:p>
        </w:tc>
      </w:tr>
      <w:tr>
        <w:tblPrEx>
          <w:tblLayout w:type="fixed"/>
          <w:tblCellMar>
            <w:top w:w="0" w:type="dxa"/>
            <w:left w:w="108" w:type="dxa"/>
            <w:bottom w:w="0" w:type="dxa"/>
            <w:right w:w="108" w:type="dxa"/>
          </w:tblCellMar>
        </w:tblPrEx>
        <w:trPr>
          <w:trHeight w:val="499"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（一）收入预算</w:t>
            </w:r>
          </w:p>
        </w:tc>
      </w:tr>
      <w:tr>
        <w:tblPrEx>
          <w:tblLayout w:type="fixed"/>
          <w:tblCellMar>
            <w:top w:w="0" w:type="dxa"/>
            <w:left w:w="108" w:type="dxa"/>
            <w:bottom w:w="0" w:type="dxa"/>
            <w:right w:w="108" w:type="dxa"/>
          </w:tblCellMar>
        </w:tblPrEx>
        <w:trPr>
          <w:trHeight w:val="1875"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    包括一般公共预算、政府性基金、国有资本经营预算等财政拨款收入，以及经营收入、事业收入等单位资金。2022年本部门收入预算1956.76万元，其中，一般公共预算拨款1956.76万元，政府性基金预算拨款0万元，所以公开的附件15-17（政府性基金预算）为空,国有资本经营预算拨款0万元，所以公开的附表18（国有资本经营预算）为空,财政专户管理资金0万元，所以公开的附表19表（财政专户管理资金预算）为空，上级补助收入0万元，事业单位经营收入0万元，上年结转结余0万元。</w:t>
            </w:r>
          </w:p>
        </w:tc>
      </w:tr>
      <w:tr>
        <w:tblPrEx>
          <w:tblLayout w:type="fixed"/>
          <w:tblCellMar>
            <w:top w:w="0" w:type="dxa"/>
            <w:left w:w="108" w:type="dxa"/>
            <w:bottom w:w="0" w:type="dxa"/>
            <w:right w:w="108" w:type="dxa"/>
          </w:tblCellMar>
        </w:tblPrEx>
        <w:trPr>
          <w:trHeight w:val="619"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收入较去年增加425.81万元，主要是因为一是增加了运转类项目绩效平安奖及物业服务补贴，二是正常的人员调入调出净增拨款预算。</w:t>
            </w:r>
          </w:p>
        </w:tc>
      </w:tr>
      <w:tr>
        <w:tblPrEx>
          <w:tblLayout w:type="fixed"/>
          <w:tblCellMar>
            <w:top w:w="0" w:type="dxa"/>
            <w:left w:w="108" w:type="dxa"/>
            <w:bottom w:w="0" w:type="dxa"/>
            <w:right w:w="108" w:type="dxa"/>
          </w:tblCellMar>
        </w:tblPrEx>
        <w:trPr>
          <w:trHeight w:val="402"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（二）支出预算</w:t>
            </w:r>
          </w:p>
        </w:tc>
      </w:tr>
      <w:tr>
        <w:tblPrEx>
          <w:tblLayout w:type="fixed"/>
          <w:tblCellMar>
            <w:top w:w="0" w:type="dxa"/>
            <w:left w:w="108" w:type="dxa"/>
            <w:bottom w:w="0" w:type="dxa"/>
            <w:right w:w="108" w:type="dxa"/>
          </w:tblCellMar>
        </w:tblPrEx>
        <w:trPr>
          <w:trHeight w:val="1320"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2022年本部门支出预算1956.76万元，其中，一般公共服务支出1734.07万元，占比88.62%，社会保障和就业支出91.32万元，占比4.67%，卫生健康支出62.88万元，占比3.21%，住房保障支出68.49万元，占比3.50%。支出较去年增加413.1万元，其中基本支出增加149.71万元，项目支出增加276.1万元。其中基本支出较上年增加主要是因为一是正常的人员调入调出净增拨款预算，二是公务交通补贴今年全额拨款，上年是拨款50%，项目支出增加主要是因为增加了运转类项目绩效平安奖及物业服务补贴。</w:t>
            </w:r>
          </w:p>
        </w:tc>
      </w:tr>
      <w:tr>
        <w:tblPrEx>
          <w:tblLayout w:type="fixed"/>
          <w:tblCellMar>
            <w:top w:w="0" w:type="dxa"/>
            <w:left w:w="108" w:type="dxa"/>
            <w:bottom w:w="0" w:type="dxa"/>
            <w:right w:w="108" w:type="dxa"/>
          </w:tblCellMar>
        </w:tblPrEx>
        <w:trPr>
          <w:trHeight w:val="499"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四、一般公共预算拨款支出预算</w:t>
            </w:r>
          </w:p>
        </w:tc>
      </w:tr>
      <w:tr>
        <w:tblPrEx>
          <w:tblLayout w:type="fixed"/>
          <w:tblCellMar>
            <w:top w:w="0" w:type="dxa"/>
            <w:left w:w="108" w:type="dxa"/>
            <w:bottom w:w="0" w:type="dxa"/>
            <w:right w:w="108" w:type="dxa"/>
          </w:tblCellMar>
        </w:tblPrEx>
        <w:trPr>
          <w:trHeight w:val="1125"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    2022年本部门一般公共预算拨款支出预算1956.76万元，其中，一般公共服务支出1734.07万元，占比88.62%，社会保障和就业支出91.32万元，占比4.67%，卫生健康支出62.88万元，占比3.21%，住房保障支出68.49万元，占比3.50%。具体安排情况如下：</w:t>
            </w:r>
          </w:p>
        </w:tc>
      </w:tr>
      <w:tr>
        <w:tblPrEx>
          <w:tblLayout w:type="fixed"/>
          <w:tblCellMar>
            <w:top w:w="0" w:type="dxa"/>
            <w:left w:w="108" w:type="dxa"/>
            <w:bottom w:w="0" w:type="dxa"/>
            <w:right w:w="108" w:type="dxa"/>
          </w:tblCellMar>
        </w:tblPrEx>
        <w:trPr>
          <w:trHeight w:val="1125"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    （一）基本支出：2022年基本支出年初预算数为1069.73万元（数据来源见表7），是指为保障单位机构正常运转、完成日常工作任务而发生的各项支出，包括用于基本工资、津贴补贴等人员经费以及办公费、印刷费、水电费、差旅费等日常公用经费。</w:t>
            </w:r>
          </w:p>
        </w:tc>
      </w:tr>
      <w:tr>
        <w:tblPrEx>
          <w:tblLayout w:type="fixed"/>
          <w:tblCellMar>
            <w:top w:w="0" w:type="dxa"/>
            <w:left w:w="108" w:type="dxa"/>
            <w:bottom w:w="0" w:type="dxa"/>
            <w:right w:w="108" w:type="dxa"/>
          </w:tblCellMar>
        </w:tblPrEx>
        <w:trPr>
          <w:trHeight w:val="3375"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二）项目支出：2022年项目支出年初预算数为887.03万元，是指单位为完成特定行政工作任务或事业发展目标而发生的支出，包括有关业务工作经费、运行维护经费、其他事业类发展资金、其他项目支出。其中：政协专项业务经费87.52万元，主要用于开展重点调研、督办提案、课题研究等工作，切实履行政协政治协商、民主监督、参政议政的职能；办公楼运行后勤保障经费118.51万元，主要用于办公大楼水电、物业、维修等后勤保障工作，保障办公楼正常运转；委员工作经费143.8万元，主要用于委员活动、课题调研、提案工作、社情民意、远程协商等委员履职活动开展；政协会议经费119万元，主要用于全年一次的政协全体会议及、常务委员会议等方面；农业农村委4.5万元，主要用于农业农村委室工作经费；绩效平安奖270万元、伙食补助54万元、工会经费补助40.5万元、物业服务补贴48.6万元；非税收入成本0.6万元。</w:t>
            </w:r>
          </w:p>
        </w:tc>
      </w:tr>
      <w:tr>
        <w:tblPrEx>
          <w:tblLayout w:type="fixed"/>
          <w:tblCellMar>
            <w:top w:w="0" w:type="dxa"/>
            <w:left w:w="108" w:type="dxa"/>
            <w:bottom w:w="0" w:type="dxa"/>
            <w:right w:w="108" w:type="dxa"/>
          </w:tblCellMar>
        </w:tblPrEx>
        <w:trPr>
          <w:trHeight w:val="499"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五、政府性基金预算支出</w:t>
            </w:r>
          </w:p>
        </w:tc>
      </w:tr>
      <w:tr>
        <w:tblPrEx>
          <w:tblLayout w:type="fixed"/>
          <w:tblCellMar>
            <w:top w:w="0" w:type="dxa"/>
            <w:left w:w="108" w:type="dxa"/>
            <w:bottom w:w="0" w:type="dxa"/>
            <w:right w:w="108" w:type="dxa"/>
          </w:tblCellMar>
        </w:tblPrEx>
        <w:trPr>
          <w:trHeight w:val="499"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    2022年度本部门无政府性基金安排的支出，所以公开的附件15-17（政府性基金预算）为空。</w:t>
            </w:r>
          </w:p>
        </w:tc>
      </w:tr>
      <w:tr>
        <w:tblPrEx>
          <w:tblLayout w:type="fixed"/>
          <w:tblCellMar>
            <w:top w:w="0" w:type="dxa"/>
            <w:left w:w="108" w:type="dxa"/>
            <w:bottom w:w="0" w:type="dxa"/>
            <w:right w:w="108" w:type="dxa"/>
          </w:tblCellMar>
        </w:tblPrEx>
        <w:trPr>
          <w:trHeight w:val="499"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六、其他重要事项的情况说明</w:t>
            </w:r>
          </w:p>
        </w:tc>
      </w:tr>
      <w:tr>
        <w:tblPrEx>
          <w:tblLayout w:type="fixed"/>
          <w:tblCellMar>
            <w:top w:w="0" w:type="dxa"/>
            <w:left w:w="108" w:type="dxa"/>
            <w:bottom w:w="0" w:type="dxa"/>
            <w:right w:w="108" w:type="dxa"/>
          </w:tblCellMar>
        </w:tblPrEx>
        <w:trPr>
          <w:trHeight w:val="499"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（一）机关运行经费</w:t>
            </w:r>
          </w:p>
        </w:tc>
      </w:tr>
      <w:tr>
        <w:tblPrEx>
          <w:tblLayout w:type="fixed"/>
          <w:tblCellMar>
            <w:top w:w="0" w:type="dxa"/>
            <w:left w:w="108" w:type="dxa"/>
            <w:bottom w:w="0" w:type="dxa"/>
            <w:right w:w="108" w:type="dxa"/>
          </w:tblCellMar>
        </w:tblPrEx>
        <w:trPr>
          <w:trHeight w:val="859"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本单位2022年机关运行经费当年一般公共预算拨款255.64万元，比上一年增加62.72万元，增加32.51%。主要原因一是2022年公务交通补贴是全额预算拨款，上年是拨款50%；二是正常的人员调入调出净增拨款预算。</w:t>
            </w:r>
          </w:p>
        </w:tc>
      </w:tr>
      <w:tr>
        <w:tblPrEx>
          <w:tblLayout w:type="fixed"/>
          <w:tblCellMar>
            <w:top w:w="0" w:type="dxa"/>
            <w:left w:w="108" w:type="dxa"/>
            <w:bottom w:w="0" w:type="dxa"/>
            <w:right w:w="108" w:type="dxa"/>
          </w:tblCellMar>
        </w:tblPrEx>
        <w:trPr>
          <w:trHeight w:val="499"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（二）“三公”经费预算</w:t>
            </w:r>
          </w:p>
        </w:tc>
      </w:tr>
      <w:tr>
        <w:tblPrEx>
          <w:tblLayout w:type="fixed"/>
          <w:tblCellMar>
            <w:top w:w="0" w:type="dxa"/>
            <w:left w:w="108" w:type="dxa"/>
            <w:bottom w:w="0" w:type="dxa"/>
            <w:right w:w="108" w:type="dxa"/>
          </w:tblCellMar>
        </w:tblPrEx>
        <w:trPr>
          <w:trHeight w:val="1500"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color w:val="FF0000"/>
                <w:kern w:val="0"/>
                <w:sz w:val="28"/>
                <w:szCs w:val="28"/>
              </w:rPr>
            </w:pPr>
            <w:r>
              <w:rPr>
                <w:rFonts w:hint="eastAsia" w:ascii="仿宋_GB2312" w:hAnsi="宋体" w:eastAsia="仿宋_GB2312" w:cs="宋体"/>
                <w:color w:val="FF0000"/>
                <w:kern w:val="0"/>
                <w:sz w:val="28"/>
                <w:szCs w:val="28"/>
              </w:rPr>
              <w:t xml:space="preserve">    </w:t>
            </w:r>
            <w:r>
              <w:rPr>
                <w:rFonts w:hint="eastAsia" w:ascii="仿宋_GB2312" w:hAnsi="宋体" w:eastAsia="仿宋_GB2312" w:cs="宋体"/>
                <w:color w:val="auto"/>
                <w:kern w:val="0"/>
                <w:sz w:val="28"/>
                <w:szCs w:val="28"/>
              </w:rPr>
              <w:t>本单位2022年“三公”经费预算数118万元，其中，公务接待费20万元，因公出国（境）费10万元，公务用车购置及运行费</w:t>
            </w:r>
            <w:r>
              <w:rPr>
                <w:rFonts w:hint="eastAsia" w:ascii="仿宋_GB2312" w:hAnsi="宋体" w:eastAsia="仿宋_GB2312" w:cs="宋体"/>
                <w:color w:val="auto"/>
                <w:kern w:val="0"/>
                <w:sz w:val="28"/>
                <w:szCs w:val="28"/>
                <w:lang w:val="en-US" w:eastAsia="zh-CN"/>
              </w:rPr>
              <w:t>88</w:t>
            </w:r>
            <w:r>
              <w:rPr>
                <w:rFonts w:hint="eastAsia" w:ascii="仿宋_GB2312" w:hAnsi="宋体" w:eastAsia="仿宋_GB2312" w:cs="宋体"/>
                <w:color w:val="auto"/>
                <w:kern w:val="0"/>
                <w:sz w:val="28"/>
                <w:szCs w:val="28"/>
              </w:rPr>
              <w:t>万元，其中公务用车购置费18万元，公务用车运行费70万元。比上一年减少2万元，降低1.67%，主要原因是继续严格落实过“紧日子”思想，进一步严明公务接待纪律，规范公务用车管理。</w:t>
            </w:r>
          </w:p>
        </w:tc>
      </w:tr>
      <w:tr>
        <w:tblPrEx>
          <w:tblLayout w:type="fixed"/>
          <w:tblCellMar>
            <w:top w:w="0" w:type="dxa"/>
            <w:left w:w="108" w:type="dxa"/>
            <w:bottom w:w="0" w:type="dxa"/>
            <w:right w:w="108" w:type="dxa"/>
          </w:tblCellMar>
        </w:tblPrEx>
        <w:trPr>
          <w:trHeight w:val="375"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（三）一般性支出情况</w:t>
            </w:r>
          </w:p>
        </w:tc>
      </w:tr>
      <w:tr>
        <w:tblPrEx>
          <w:tblLayout w:type="fixed"/>
          <w:tblCellMar>
            <w:top w:w="0" w:type="dxa"/>
            <w:left w:w="108" w:type="dxa"/>
            <w:bottom w:w="0" w:type="dxa"/>
            <w:right w:w="108" w:type="dxa"/>
          </w:tblCellMar>
        </w:tblPrEx>
        <w:trPr>
          <w:trHeight w:val="1875"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本单位2022年</w:t>
            </w:r>
            <w:r>
              <w:rPr>
                <w:rFonts w:hint="eastAsia" w:ascii="仿宋_GB2312" w:hAnsi="宋体" w:eastAsia="仿宋_GB2312" w:cs="宋体"/>
                <w:color w:val="000000"/>
                <w:kern w:val="0"/>
                <w:sz w:val="28"/>
                <w:szCs w:val="28"/>
              </w:rPr>
              <w:t>一般性支出</w:t>
            </w:r>
            <w:r>
              <w:rPr>
                <w:rFonts w:hint="eastAsia" w:ascii="仿宋_GB2312" w:hAnsi="宋体" w:eastAsia="仿宋_GB2312" w:cs="宋体"/>
                <w:kern w:val="0"/>
                <w:sz w:val="28"/>
                <w:szCs w:val="28"/>
              </w:rPr>
              <w:t>会议费预算</w:t>
            </w:r>
            <w:r>
              <w:rPr>
                <w:rFonts w:hint="eastAsia" w:ascii="仿宋_GB2312" w:hAnsi="宋体" w:eastAsia="仿宋_GB2312" w:cs="宋体"/>
                <w:kern w:val="0"/>
                <w:sz w:val="28"/>
                <w:szCs w:val="28"/>
                <w:lang w:val="en-US" w:eastAsia="zh-CN"/>
              </w:rPr>
              <w:t>0</w:t>
            </w:r>
            <w:r>
              <w:rPr>
                <w:rFonts w:hint="eastAsia" w:ascii="仿宋_GB2312" w:hAnsi="宋体" w:eastAsia="仿宋_GB2312" w:cs="宋体"/>
                <w:kern w:val="0"/>
                <w:sz w:val="28"/>
                <w:szCs w:val="28"/>
              </w:rPr>
              <w:t>万元，</w:t>
            </w:r>
            <w:r>
              <w:rPr>
                <w:rFonts w:hint="eastAsia" w:ascii="仿宋_GB2312" w:hAnsi="宋体" w:eastAsia="仿宋_GB2312" w:cs="宋体"/>
                <w:kern w:val="0"/>
                <w:sz w:val="28"/>
                <w:szCs w:val="28"/>
                <w:lang w:eastAsia="zh-CN"/>
              </w:rPr>
              <w:t>会议费列支主要来源于项目支出中政协会议经费，</w:t>
            </w:r>
            <w:bookmarkStart w:id="0" w:name="_GoBack"/>
            <w:bookmarkEnd w:id="0"/>
            <w:r>
              <w:rPr>
                <w:rFonts w:hint="eastAsia" w:ascii="仿宋_GB2312" w:hAnsi="宋体" w:eastAsia="仿宋_GB2312" w:cs="宋体"/>
                <w:kern w:val="0"/>
                <w:sz w:val="28"/>
                <w:szCs w:val="28"/>
              </w:rPr>
              <w:t>拟召开1次政协全体会议、政协常务委员会议、界别协商会、政协工作会议，人数3000余人；培训费预算</w:t>
            </w:r>
            <w:r>
              <w:rPr>
                <w:rFonts w:hint="eastAsia" w:ascii="仿宋_GB2312" w:hAnsi="宋体" w:eastAsia="仿宋_GB2312" w:cs="宋体"/>
                <w:kern w:val="0"/>
                <w:sz w:val="28"/>
                <w:szCs w:val="28"/>
                <w:lang w:val="en-US" w:eastAsia="zh-CN"/>
              </w:rPr>
              <w:t>5</w:t>
            </w:r>
            <w:r>
              <w:rPr>
                <w:rFonts w:hint="eastAsia" w:ascii="仿宋_GB2312" w:hAnsi="宋体" w:eastAsia="仿宋_GB2312" w:cs="宋体"/>
                <w:kern w:val="0"/>
                <w:sz w:val="28"/>
                <w:szCs w:val="28"/>
              </w:rPr>
              <w:t>万元，拟开展15次培训，人数900人，内容为政协委员、政协干部履职及业务知识培训；2022年度本单位未计划举办节庆、晚会、论坛、赛事活动。</w:t>
            </w:r>
          </w:p>
        </w:tc>
      </w:tr>
      <w:tr>
        <w:tblPrEx>
          <w:tblLayout w:type="fixed"/>
          <w:tblCellMar>
            <w:top w:w="0" w:type="dxa"/>
            <w:left w:w="108" w:type="dxa"/>
            <w:bottom w:w="0" w:type="dxa"/>
            <w:right w:w="108" w:type="dxa"/>
          </w:tblCellMar>
        </w:tblPrEx>
        <w:trPr>
          <w:trHeight w:val="619"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（四）政府采购情况</w:t>
            </w:r>
          </w:p>
        </w:tc>
      </w:tr>
      <w:tr>
        <w:tblPrEx>
          <w:tblLayout w:type="fixed"/>
          <w:tblCellMar>
            <w:top w:w="0" w:type="dxa"/>
            <w:left w:w="108" w:type="dxa"/>
            <w:bottom w:w="0" w:type="dxa"/>
            <w:right w:w="108" w:type="dxa"/>
          </w:tblCellMar>
        </w:tblPrEx>
        <w:trPr>
          <w:trHeight w:val="750"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本单位2022年政府采购预算总额340万元，其中物业管理等服务预算340万元。</w:t>
            </w:r>
          </w:p>
        </w:tc>
      </w:tr>
      <w:tr>
        <w:tblPrEx>
          <w:tblLayout w:type="fixed"/>
          <w:tblCellMar>
            <w:top w:w="0" w:type="dxa"/>
            <w:left w:w="108" w:type="dxa"/>
            <w:bottom w:w="0" w:type="dxa"/>
            <w:right w:w="108" w:type="dxa"/>
          </w:tblCellMar>
        </w:tblPrEx>
        <w:trPr>
          <w:trHeight w:val="499"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（五）国有资产占有使用及新增资产配置情况</w:t>
            </w:r>
          </w:p>
        </w:tc>
      </w:tr>
      <w:tr>
        <w:tblPrEx>
          <w:tblLayout w:type="fixed"/>
          <w:tblCellMar>
            <w:top w:w="0" w:type="dxa"/>
            <w:left w:w="108" w:type="dxa"/>
            <w:bottom w:w="0" w:type="dxa"/>
            <w:right w:w="108" w:type="dxa"/>
          </w:tblCellMar>
        </w:tblPrEx>
        <w:trPr>
          <w:trHeight w:val="3259" w:hRule="atLeast"/>
        </w:trPr>
        <w:tc>
          <w:tcPr>
            <w:tcW w:w="8522" w:type="dxa"/>
            <w:tcBorders>
              <w:top w:val="nil"/>
              <w:left w:val="nil"/>
              <w:bottom w:val="nil"/>
              <w:right w:val="nil"/>
            </w:tcBorders>
            <w:shd w:val="clear" w:color="auto" w:fill="auto"/>
            <w:vAlign w:val="center"/>
          </w:tcPr>
          <w:p>
            <w:pPr>
              <w:widowControl/>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 xml:space="preserve">    截至上一年12月底，本部门共有车辆10辆。其中，实物保障用车1辆、机要通信用车1辆、应急保障用车8辆、执法执勤用车0辆、特种专业技术用车0辆；单位价值50万元以上通用设备0台，单位价值100万元以上专用设备0台。</w:t>
            </w:r>
          </w:p>
          <w:p>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2022年拟报废处置公务用车1辆，拟新增配置车辆1辆，主要用于应急保障，资金来源为财政追加。拟新增配备单位价值50万元以上通用设备0台，单位价值100万元以上专用设备0台。</w:t>
            </w:r>
          </w:p>
        </w:tc>
      </w:tr>
      <w:tr>
        <w:tblPrEx>
          <w:tblLayout w:type="fixed"/>
          <w:tblCellMar>
            <w:top w:w="0" w:type="dxa"/>
            <w:left w:w="108" w:type="dxa"/>
            <w:bottom w:w="0" w:type="dxa"/>
            <w:right w:w="108" w:type="dxa"/>
          </w:tblCellMar>
        </w:tblPrEx>
        <w:trPr>
          <w:trHeight w:val="499"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（六）预算绩效目标说明</w:t>
            </w:r>
          </w:p>
        </w:tc>
      </w:tr>
      <w:tr>
        <w:tblPrEx>
          <w:tblLayout w:type="fixed"/>
          <w:tblCellMar>
            <w:top w:w="0" w:type="dxa"/>
            <w:left w:w="108" w:type="dxa"/>
            <w:bottom w:w="0" w:type="dxa"/>
            <w:right w:w="108" w:type="dxa"/>
          </w:tblCellMar>
        </w:tblPrEx>
        <w:trPr>
          <w:trHeight w:val="750"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    本部门所有支出实行绩效目标管理。纳入2022年部门整体支出绩效目标的金额为1956.76万元，其中，基本支出1069.73万元，项目支出887.03万元，详见文尾附表中部门预算公开表格的表21-22。</w:t>
            </w:r>
          </w:p>
        </w:tc>
      </w:tr>
      <w:tr>
        <w:tblPrEx>
          <w:tblLayout w:type="fixed"/>
          <w:tblCellMar>
            <w:top w:w="0" w:type="dxa"/>
            <w:left w:w="108" w:type="dxa"/>
            <w:bottom w:w="0" w:type="dxa"/>
            <w:right w:w="108" w:type="dxa"/>
          </w:tblCellMar>
        </w:tblPrEx>
        <w:trPr>
          <w:trHeight w:val="499"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七、名词解释</w:t>
            </w:r>
          </w:p>
        </w:tc>
      </w:tr>
      <w:tr>
        <w:tblPrEx>
          <w:tblLayout w:type="fixed"/>
          <w:tblCellMar>
            <w:top w:w="0" w:type="dxa"/>
            <w:left w:w="108" w:type="dxa"/>
            <w:bottom w:w="0" w:type="dxa"/>
            <w:right w:w="108" w:type="dxa"/>
          </w:tblCellMar>
        </w:tblPrEx>
        <w:trPr>
          <w:trHeight w:val="3000"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1、机关运行经费：是指各部门的公用经费，包括办公及印刷费、邮电费、差旅费、会议费、福利费、日常维修费、专用资料及一般设备购置费、办公用房水电费、办公用房取暖费、办公用房物业管理费、公务用车运行维护费以及其他费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xml:space="preserve">    2、“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tc>
      </w:tr>
      <w:tr>
        <w:tblPrEx>
          <w:tblLayout w:type="fixed"/>
          <w:tblCellMar>
            <w:top w:w="0" w:type="dxa"/>
            <w:left w:w="108" w:type="dxa"/>
            <w:bottom w:w="0" w:type="dxa"/>
            <w:right w:w="108" w:type="dxa"/>
          </w:tblCellMar>
        </w:tblPrEx>
        <w:trPr>
          <w:trHeight w:val="900" w:hRule="atLeast"/>
        </w:trPr>
        <w:tc>
          <w:tcPr>
            <w:tcW w:w="8522" w:type="dxa"/>
            <w:tcBorders>
              <w:top w:val="nil"/>
              <w:left w:val="nil"/>
              <w:bottom w:val="nil"/>
              <w:right w:val="nil"/>
            </w:tcBorders>
            <w:shd w:val="clear" w:color="auto" w:fill="auto"/>
            <w:vAlign w:val="center"/>
          </w:tcPr>
          <w:p>
            <w:pPr>
              <w:widowControl/>
              <w:jc w:val="center"/>
              <w:rPr>
                <w:rFonts w:ascii="黑体" w:hAnsi="黑体" w:eastAsia="黑体" w:cs="宋体"/>
                <w:color w:val="000000"/>
                <w:kern w:val="0"/>
                <w:sz w:val="36"/>
                <w:szCs w:val="36"/>
              </w:rPr>
            </w:pPr>
            <w:r>
              <w:rPr>
                <w:rFonts w:hint="eastAsia" w:ascii="黑体" w:hAnsi="黑体" w:eastAsia="黑体" w:cs="宋体"/>
                <w:color w:val="000000"/>
                <w:kern w:val="0"/>
                <w:sz w:val="36"/>
                <w:szCs w:val="36"/>
              </w:rPr>
              <w:t>第二部分  2022年部门预算公开表格</w:t>
            </w:r>
          </w:p>
        </w:tc>
      </w:tr>
      <w:tr>
        <w:tblPrEx>
          <w:tblLayout w:type="fixed"/>
          <w:tblCellMar>
            <w:top w:w="0" w:type="dxa"/>
            <w:left w:w="108" w:type="dxa"/>
            <w:bottom w:w="0" w:type="dxa"/>
            <w:right w:w="108" w:type="dxa"/>
          </w:tblCellMar>
        </w:tblPrEx>
        <w:trPr>
          <w:trHeight w:val="4500" w:hRule="atLeast"/>
        </w:trPr>
        <w:tc>
          <w:tcPr>
            <w:tcW w:w="8522" w:type="dxa"/>
            <w:vMerge w:val="restart"/>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1、收支总表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2、收入总表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3、支出总表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4、支出预算分类汇总表（按政府预算经济分类）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5、支出预算分类汇总表（按部门预算经济分类）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6、财政拨款收支总表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7、一般公共预算支出表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8、一般公共预算基本支出表-人员经费（工资福利支出）（按政府预算经济分类）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9、一般公共预算基本支出表-人员经费（工资福利支出）（按部门预算经济分类）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10、一般公共预算基本支出表-人员经费（对个人和家庭的补助）（按政府预算经济分类）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11、一般公共预算基本支出表-人员经费（对个人和家庭的补助）（按部门预算经济分类）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12、一般公共预算基本支出表-人员经费（商品和服务支出）（按政府预算经济分类）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13、一般公共预算基本支出表-人员经费（商品和服务支出）（按部门预算经济分类）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14、一般公共预算“三公”经费支出表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15、政府性基金预算支出表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16、政府性基金预算支出分类汇总表（按政府预算经济分类）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17、政府性基金预算支出分类汇总表（按部门预算经济分类）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18、国有资本经营预算支出表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19、财政专户管理资金预算支出表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20、专项资金预算汇总表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21、项目支出绩效目标表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22、整体支出绩效目标表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注：以上单位预算公开报表中，空表表示本单位无相关收支情况。</w:t>
            </w:r>
          </w:p>
        </w:tc>
      </w:tr>
      <w:tr>
        <w:tblPrEx>
          <w:tblLayout w:type="fixed"/>
          <w:tblCellMar>
            <w:top w:w="0" w:type="dxa"/>
            <w:left w:w="108" w:type="dxa"/>
            <w:bottom w:w="0" w:type="dxa"/>
            <w:right w:w="108" w:type="dxa"/>
          </w:tblCellMar>
        </w:tblPrEx>
        <w:trPr>
          <w:trHeight w:val="4500" w:hRule="atLeast"/>
        </w:trPr>
        <w:tc>
          <w:tcPr>
            <w:tcW w:w="8522" w:type="dxa"/>
            <w:vMerge w:val="continue"/>
            <w:tcBorders>
              <w:top w:val="nil"/>
              <w:left w:val="nil"/>
              <w:bottom w:val="nil"/>
              <w:right w:val="nil"/>
            </w:tcBorders>
            <w:vAlign w:val="center"/>
          </w:tcPr>
          <w:p>
            <w:pPr>
              <w:widowControl/>
              <w:jc w:val="left"/>
              <w:rPr>
                <w:rFonts w:ascii="仿宋_GB2312" w:hAnsi="宋体" w:eastAsia="仿宋_GB2312" w:cs="宋体"/>
                <w:color w:val="000000"/>
                <w:kern w:val="0"/>
                <w:sz w:val="28"/>
                <w:szCs w:val="28"/>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AC517DD-1236-4067-8F63-D8163985E51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F57F4777-B1CA-491E-A267-EC974DC09C89}"/>
  </w:font>
  <w:font w:name="方正小标宋_GBK">
    <w:panose1 w:val="03000509000000000000"/>
    <w:charset w:val="86"/>
    <w:family w:val="roman"/>
    <w:pitch w:val="default"/>
    <w:sig w:usb0="00000001" w:usb1="080E0000" w:usb2="00000000" w:usb3="00000000" w:csb0="00040000" w:csb1="00000000"/>
    <w:embedRegular r:id="rId3" w:fontKey="{43E8FDB4-3D1D-425D-9B89-A6E37B9D044C}"/>
  </w:font>
  <w:font w:name="仿宋_GB2312">
    <w:panose1 w:val="02010609030101010101"/>
    <w:charset w:val="86"/>
    <w:family w:val="auto"/>
    <w:pitch w:val="default"/>
    <w:sig w:usb0="00000001" w:usb1="080E0000" w:usb2="00000000" w:usb3="00000000" w:csb0="00040000" w:csb1="00000000"/>
    <w:embedRegular r:id="rId4" w:fontKey="{CFEB3348-BE93-421E-9413-C866BA6920DE}"/>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mIyMGFmMTJjZDc5MTY3YTY1N2I2YTE3ZGU3YTY2NDUifQ=="/>
  </w:docVars>
  <w:rsids>
    <w:rsidRoot w:val="00240BF5"/>
    <w:rsid w:val="00240BF5"/>
    <w:rsid w:val="005C476B"/>
    <w:rsid w:val="005E3D8C"/>
    <w:rsid w:val="11506348"/>
    <w:rsid w:val="17D05065"/>
    <w:rsid w:val="1FEC11B9"/>
    <w:rsid w:val="30D56E8E"/>
    <w:rsid w:val="5291508F"/>
    <w:rsid w:val="5CD234E3"/>
    <w:rsid w:val="6BD05B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3924</Words>
  <Characters>4248</Characters>
  <Lines>31</Lines>
  <Paragraphs>8</Paragraphs>
  <TotalTime>2</TotalTime>
  <ScaleCrop>false</ScaleCrop>
  <LinksUpToDate>false</LinksUpToDate>
  <CharactersWithSpaces>4330</CharactersWithSpaces>
  <Application>WPS Office_11.1.0.8799_F1E327BC-269C-435d-A152-05C5408002CA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2023-05-27T02:05:00Z</dcterms:created>
  <dc:creator>PC</dc:creator>
  <cp:lastModifiedBy>笑魂魂</cp:lastModifiedBy>
  <dcterms:modified xsi:type="dcterms:W3CDTF">2023-07-17T06:53:16Z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2052-11.1.0.8799</vt:lpwstr>
  </property>
  <property fmtid="{D5CDD505-2E9C-101B-9397-08002B2CF9AE}" pid="3" name="ICV">
    <vt:lpwstr>F920B6D4C2024EFA9F5ACE7395F1A95A</vt:lpwstr>
  </property>
</Properties>
</file>